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方正小标宋简体" w:hAnsi="方正小标宋简体" w:eastAsia="方正小标宋简体" w:cs="方正小标宋简体"/>
          <w:b w:val="0"/>
          <w:bCs/>
          <w:color w:val="000000"/>
          <w:kern w:val="0"/>
          <w:sz w:val="32"/>
          <w:szCs w:val="32"/>
          <w:lang w:eastAsia="zh-CN"/>
        </w:rPr>
      </w:pPr>
      <w:r>
        <w:rPr>
          <w:rFonts w:hint="eastAsia" w:ascii="方正小标宋简体" w:hAnsi="方正小标宋简体" w:eastAsia="方正小标宋简体" w:cs="方正小标宋简体"/>
          <w:b w:val="0"/>
          <w:bCs/>
          <w:color w:val="000000"/>
          <w:kern w:val="0"/>
          <w:sz w:val="32"/>
          <w:szCs w:val="32"/>
          <w:lang w:eastAsia="zh-CN"/>
        </w:rPr>
        <w:t>附件：</w:t>
      </w:r>
    </w:p>
    <w:p>
      <w:pPr>
        <w:spacing w:line="500" w:lineRule="exact"/>
        <w:jc w:val="left"/>
        <w:rPr>
          <w:rFonts w:hint="eastAsia" w:ascii="方正小标宋简体" w:hAnsi="方正小标宋简体" w:eastAsia="方正小标宋简体" w:cs="方正小标宋简体"/>
          <w:b w:val="0"/>
          <w:bCs/>
          <w:color w:val="000000"/>
          <w:kern w:val="0"/>
          <w:sz w:val="32"/>
          <w:szCs w:val="32"/>
          <w:lang w:eastAsia="zh-CN"/>
        </w:rPr>
      </w:pPr>
      <w:bookmarkStart w:id="0" w:name="_GoBack"/>
      <w:bookmarkEnd w:id="0"/>
    </w:p>
    <w:p>
      <w:pPr>
        <w:spacing w:line="500" w:lineRule="exact"/>
        <w:ind w:firstLine="1099" w:firstLineChars="249"/>
        <w:rPr>
          <w:rFonts w:ascii="宋体" w:hAnsi="宋体" w:eastAsia="宋体"/>
          <w:b/>
          <w:color w:val="000000"/>
          <w:kern w:val="0"/>
          <w:sz w:val="44"/>
          <w:szCs w:val="44"/>
        </w:rPr>
      </w:pPr>
      <w:r>
        <w:rPr>
          <w:rFonts w:hint="eastAsia" w:ascii="宋体" w:hAnsi="宋体" w:eastAsia="宋体"/>
          <w:b/>
          <w:color w:val="000000"/>
          <w:kern w:val="0"/>
          <w:sz w:val="44"/>
          <w:szCs w:val="44"/>
        </w:rPr>
        <w:t>呼和浩特市公共资源交易代理机构</w:t>
      </w:r>
    </w:p>
    <w:p>
      <w:pPr>
        <w:spacing w:line="500" w:lineRule="exact"/>
        <w:ind w:firstLine="1316" w:firstLineChars="298"/>
        <w:rPr>
          <w:rFonts w:ascii="宋体" w:hAnsi="宋体" w:eastAsia="宋体"/>
          <w:b/>
          <w:color w:val="000000"/>
          <w:kern w:val="0"/>
          <w:sz w:val="44"/>
          <w:szCs w:val="44"/>
        </w:rPr>
      </w:pPr>
      <w:r>
        <w:rPr>
          <w:rFonts w:hint="eastAsia" w:ascii="宋体" w:hAnsi="宋体" w:eastAsia="宋体"/>
          <w:b/>
          <w:color w:val="000000"/>
          <w:kern w:val="0"/>
          <w:sz w:val="44"/>
          <w:szCs w:val="44"/>
        </w:rPr>
        <w:t>及从业人员不良行为认定标准</w:t>
      </w:r>
    </w:p>
    <w:p>
      <w:pPr>
        <w:spacing w:line="500" w:lineRule="exact"/>
        <w:ind w:firstLine="1799" w:firstLineChars="498"/>
        <w:rPr>
          <w:rFonts w:ascii="宋体" w:hAnsi="宋体" w:eastAsia="宋体"/>
          <w:b/>
          <w:color w:val="000000"/>
          <w:kern w:val="0"/>
          <w:sz w:val="36"/>
          <w:szCs w:val="36"/>
        </w:rPr>
      </w:pPr>
    </w:p>
    <w:tbl>
      <w:tblPr>
        <w:tblStyle w:val="5"/>
        <w:tblW w:w="10490" w:type="dxa"/>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425"/>
        <w:gridCol w:w="568"/>
        <w:gridCol w:w="8080"/>
        <w:gridCol w:w="709"/>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62" w:hRule="atLeast"/>
        </w:trPr>
        <w:tc>
          <w:tcPr>
            <w:tcW w:w="993" w:type="dxa"/>
            <w:gridSpan w:val="2"/>
            <w:tcBorders>
              <w:top w:val="single" w:color="000000" w:sz="4" w:space="0"/>
              <w:left w:val="single" w:color="000000" w:sz="4" w:space="0"/>
              <w:right w:val="single" w:color="auto" w:sz="4" w:space="0"/>
              <w:tl2br w:val="single" w:color="auto" w:sz="4" w:space="0"/>
            </w:tcBorders>
            <w:vAlign w:val="center"/>
          </w:tcPr>
          <w:p>
            <w:pPr>
              <w:spacing w:line="480" w:lineRule="exact"/>
              <w:jc w:val="center"/>
              <w:rPr>
                <w:rFonts w:cs="宋体" w:asciiTheme="minorEastAsia" w:hAnsiTheme="minorEastAsia"/>
                <w:b/>
                <w:sz w:val="24"/>
                <w:szCs w:val="24"/>
              </w:rPr>
            </w:pPr>
            <w:r>
              <w:rPr>
                <w:rFonts w:hint="eastAsia" w:cs="宋体" w:asciiTheme="minorEastAsia" w:hAnsiTheme="minorEastAsia"/>
                <w:b/>
                <w:sz w:val="24"/>
                <w:szCs w:val="24"/>
              </w:rPr>
              <w:t xml:space="preserve">   内容</w:t>
            </w:r>
          </w:p>
          <w:p>
            <w:pPr>
              <w:spacing w:line="480" w:lineRule="exact"/>
              <w:rPr>
                <w:rFonts w:cs="宋体" w:asciiTheme="minorEastAsia" w:hAnsiTheme="minorEastAsia"/>
                <w:b/>
                <w:sz w:val="24"/>
                <w:szCs w:val="24"/>
              </w:rPr>
            </w:pPr>
            <w:r>
              <w:rPr>
                <w:rFonts w:hint="eastAsia" w:cs="宋体" w:asciiTheme="minorEastAsia" w:hAnsiTheme="minorEastAsia"/>
                <w:b/>
                <w:sz w:val="24"/>
                <w:szCs w:val="24"/>
              </w:rPr>
              <w:t>类别</w:t>
            </w:r>
          </w:p>
        </w:tc>
        <w:tc>
          <w:tcPr>
            <w:tcW w:w="8080" w:type="dxa"/>
            <w:tcBorders>
              <w:top w:val="single" w:color="000000" w:sz="4" w:space="0"/>
              <w:left w:val="single" w:color="auto" w:sz="4" w:space="0"/>
              <w:right w:val="single" w:color="auto" w:sz="4" w:space="0"/>
            </w:tcBorders>
            <w:vAlign w:val="center"/>
          </w:tcPr>
          <w:p>
            <w:pPr>
              <w:spacing w:line="480" w:lineRule="exact"/>
              <w:jc w:val="center"/>
              <w:rPr>
                <w:rFonts w:cs="宋体" w:asciiTheme="minorEastAsia" w:hAnsiTheme="minorEastAsia"/>
                <w:b/>
                <w:sz w:val="28"/>
                <w:szCs w:val="28"/>
              </w:rPr>
            </w:pPr>
            <w:r>
              <w:rPr>
                <w:rFonts w:hint="eastAsia" w:cs="宋体" w:asciiTheme="minorEastAsia" w:hAnsiTheme="minorEastAsia"/>
                <w:b/>
                <w:sz w:val="28"/>
                <w:szCs w:val="28"/>
              </w:rPr>
              <w:t>不良行为认定标准</w:t>
            </w:r>
          </w:p>
        </w:tc>
        <w:tc>
          <w:tcPr>
            <w:tcW w:w="709" w:type="dxa"/>
            <w:tcBorders>
              <w:top w:val="single" w:color="000000" w:sz="4" w:space="0"/>
              <w:left w:val="single" w:color="auto" w:sz="4" w:space="0"/>
              <w:right w:val="single" w:color="000000" w:sz="4" w:space="0"/>
            </w:tcBorders>
            <w:vAlign w:val="center"/>
          </w:tcPr>
          <w:p>
            <w:pPr>
              <w:spacing w:line="480" w:lineRule="exact"/>
              <w:jc w:val="center"/>
              <w:rPr>
                <w:rFonts w:cs="宋体" w:asciiTheme="minorEastAsia" w:hAnsiTheme="minorEastAsia"/>
                <w:b/>
                <w:sz w:val="24"/>
                <w:szCs w:val="24"/>
              </w:rPr>
            </w:pPr>
            <w:r>
              <w:rPr>
                <w:rFonts w:hint="eastAsia" w:cs="宋体" w:asciiTheme="minorEastAsia" w:hAnsiTheme="minorEastAsia"/>
                <w:b/>
                <w:sz w:val="24"/>
                <w:szCs w:val="24"/>
              </w:rPr>
              <w:t>扣分标准</w:t>
            </w:r>
          </w:p>
        </w:tc>
        <w:tc>
          <w:tcPr>
            <w:tcW w:w="708" w:type="dxa"/>
            <w:tcBorders>
              <w:top w:val="single" w:color="000000" w:sz="4" w:space="0"/>
              <w:left w:val="single" w:color="000000" w:sz="4" w:space="0"/>
              <w:right w:val="single" w:color="000000" w:sz="4" w:space="0"/>
            </w:tcBorders>
            <w:vAlign w:val="center"/>
          </w:tcPr>
          <w:p>
            <w:pPr>
              <w:spacing w:line="480" w:lineRule="exact"/>
              <w:jc w:val="center"/>
              <w:rPr>
                <w:rFonts w:cs="宋体" w:asciiTheme="minorEastAsia" w:hAnsiTheme="minorEastAsia"/>
                <w:b/>
                <w:sz w:val="24"/>
                <w:szCs w:val="24"/>
              </w:rPr>
            </w:pPr>
            <w:r>
              <w:rPr>
                <w:rFonts w:hint="eastAsia" w:cs="宋体" w:asciiTheme="minorEastAsia" w:hAnsiTheme="minorEastAsia"/>
                <w:b/>
                <w:sz w:val="24"/>
                <w:szCs w:val="24"/>
              </w:rPr>
              <w:t>加分</w:t>
            </w:r>
          </w:p>
          <w:p>
            <w:pPr>
              <w:spacing w:line="480" w:lineRule="exact"/>
              <w:jc w:val="center"/>
              <w:rPr>
                <w:rFonts w:cs="宋体" w:asciiTheme="minorEastAsia" w:hAnsiTheme="minorEastAsia"/>
                <w:b/>
                <w:sz w:val="24"/>
                <w:szCs w:val="24"/>
              </w:rPr>
            </w:pPr>
            <w:r>
              <w:rPr>
                <w:rFonts w:hint="eastAsia" w:cs="宋体" w:asciiTheme="minorEastAsia" w:hAnsiTheme="minorEastAsia"/>
                <w:b/>
                <w:sz w:val="24"/>
                <w:szCs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70" w:hRule="atLeast"/>
        </w:trPr>
        <w:tc>
          <w:tcPr>
            <w:tcW w:w="425" w:type="dxa"/>
            <w:vMerge w:val="restart"/>
            <w:tcBorders>
              <w:top w:val="single" w:color="000000"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1</w:t>
            </w:r>
          </w:p>
        </w:tc>
        <w:tc>
          <w:tcPr>
            <w:tcW w:w="568" w:type="dxa"/>
            <w:vMerge w:val="restart"/>
            <w:tcBorders>
              <w:top w:val="single" w:color="000000"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代理行为</w:t>
            </w:r>
          </w:p>
        </w:tc>
        <w:tc>
          <w:tcPr>
            <w:tcW w:w="8080" w:type="dxa"/>
            <w:tcBorders>
              <w:top w:val="single" w:color="000000"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1.代理机构的企业、人员等信息发生变更，未及时提交变更信息的</w:t>
            </w:r>
          </w:p>
        </w:tc>
        <w:tc>
          <w:tcPr>
            <w:tcW w:w="709" w:type="dxa"/>
            <w:tcBorders>
              <w:top w:val="single" w:color="000000"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000000"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5"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2.无故不按要求参加工作会议、学习培训的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cs="宋体" w:asciiTheme="minorEastAsia" w:hAnsiTheme="minorEastAsia"/>
                <w:sz w:val="24"/>
                <w:szCs w:val="24"/>
              </w:rPr>
              <w:t>-5</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3.进场时未佩戴标识标牌、着工装上岗的，或未按规定时间到场，存在迟到、早退、擅离职守情形的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7"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4.进场时冒用他人、或伪造标识标牌的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cs="宋体" w:asciiTheme="minorEastAsia" w:hAnsiTheme="minorEastAsia"/>
                <w:sz w:val="24"/>
                <w:szCs w:val="24"/>
              </w:rPr>
              <w:t>-10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7"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5.经查实存在违规收费情形的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cs="宋体" w:asciiTheme="minorEastAsia" w:hAnsiTheme="minorEastAsia"/>
                <w:sz w:val="24"/>
                <w:szCs w:val="24"/>
              </w:rPr>
              <w:t>-10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49"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6.违反优化营商环境相关规定的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10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7.未按呼和浩特市人民政府办公室印发的《全市公共资源交易活动进驻公共资源交易平台开展工作实施方案》相关要求，所代理业务在市公共资源交易平台以外交易的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8.提供虚假材料骗取招标代理业务的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8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9.从业人员同时在多个代理机构从业或参与项目服务的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5"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10.超越委托协议范围从事代理服务事项，影响交易项目正常进行的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11.对招标人隐瞒重要事项，或明知委托事项违法故意进场交易的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5"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12.从事同一项目的招标代理和投标咨询活动的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13.擅自中止（终止）、继续代理项目，或转让代理项目的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5"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14.发现违法违规行为或异常情况，未及时向有关部门报告的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 xml:space="preserve">15.不配合或拒绝接受监管局、行政监督部门日常监督检查，隐瞒有关情况，或提供虚假资料的 </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16.纪检监察机关、司法机关、行政监督部门以及法律法规授权的具有公共事务管理职能机构对其做出行政处罚或处理决定的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5"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17.存在其他违反交易活动管理制度和承诺行为，造成不良后果的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18.存在有失公正或泄密行为，造成不良后果和恶劣影响的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9"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19.存在与招标人、投标人或评标（审）专家串通投标行为的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25" w:type="dxa"/>
            <w:vMerge w:val="restart"/>
            <w:tcBorders>
              <w:top w:val="single" w:color="000000"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w:t>
            </w:r>
          </w:p>
        </w:tc>
        <w:tc>
          <w:tcPr>
            <w:tcW w:w="568" w:type="dxa"/>
            <w:vMerge w:val="restart"/>
            <w:tcBorders>
              <w:top w:val="single" w:color="000000"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交易资料编制</w:t>
            </w:r>
          </w:p>
        </w:tc>
        <w:tc>
          <w:tcPr>
            <w:tcW w:w="8080" w:type="dxa"/>
            <w:tcBorders>
              <w:top w:val="single" w:color="auto" w:sz="4" w:space="0"/>
              <w:left w:val="single" w:color="000000" w:sz="4" w:space="0"/>
              <w:bottom w:val="single" w:color="000000"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1.未按规定对招标资料进行上传，或上传资料不完整、录入不规范的</w:t>
            </w:r>
          </w:p>
        </w:tc>
        <w:tc>
          <w:tcPr>
            <w:tcW w:w="709" w:type="dxa"/>
            <w:tcBorders>
              <w:top w:val="single" w:color="000000" w:sz="4" w:space="0"/>
              <w:left w:val="single" w:color="auto" w:sz="4" w:space="0"/>
              <w:bottom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000000"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2.在不同媒介发布的同一项目招标公告、招标文件内容不一致未及时更正的</w:t>
            </w:r>
            <w:r>
              <w:rPr>
                <w:rFonts w:cs="宋体" w:asciiTheme="minorEastAsia" w:hAnsiTheme="minorEastAsia"/>
                <w:sz w:val="24"/>
                <w:szCs w:val="24"/>
              </w:rPr>
              <w:t xml:space="preserve"> </w:t>
            </w:r>
          </w:p>
        </w:tc>
        <w:tc>
          <w:tcPr>
            <w:tcW w:w="709" w:type="dxa"/>
            <w:tcBorders>
              <w:top w:val="single" w:color="auto" w:sz="4" w:space="0"/>
              <w:left w:val="single" w:color="auto" w:sz="4" w:space="0"/>
              <w:bottom w:val="single" w:color="000000" w:sz="4" w:space="0"/>
              <w:right w:val="single" w:color="000000" w:sz="4" w:space="0"/>
            </w:tcBorders>
            <w:vAlign w:val="center"/>
          </w:tcPr>
          <w:p>
            <w:pPr>
              <w:spacing w:after="120"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auto" w:sz="4" w:space="0"/>
              <w:left w:val="single" w:color="000000" w:sz="4" w:space="0"/>
              <w:bottom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4"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000000"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3.招标公告、招标文件存在编制不规范、前后条款矛盾、有歧义情形，或在开标前频繁澄清（修改）的</w:t>
            </w:r>
            <w:r>
              <w:rPr>
                <w:rFonts w:cs="宋体" w:asciiTheme="minorEastAsia" w:hAnsiTheme="minorEastAsia"/>
                <w:sz w:val="24"/>
                <w:szCs w:val="24"/>
              </w:rPr>
              <w:t xml:space="preserve"> </w:t>
            </w:r>
          </w:p>
        </w:tc>
        <w:tc>
          <w:tcPr>
            <w:tcW w:w="709" w:type="dxa"/>
            <w:tcBorders>
              <w:top w:val="single" w:color="000000"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cs="宋体" w:asciiTheme="minorEastAsia" w:hAnsiTheme="minorEastAsia"/>
                <w:sz w:val="24"/>
                <w:szCs w:val="24"/>
              </w:rPr>
              <w:t>-5</w:t>
            </w:r>
          </w:p>
        </w:tc>
        <w:tc>
          <w:tcPr>
            <w:tcW w:w="708" w:type="dxa"/>
            <w:tcBorders>
              <w:top w:val="single" w:color="000000"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2"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4.招标公告、招标文件存在编制内容不完整、不准确、有偏差，导致招标失败、或质疑投诉成立，造成项目延期的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highlight w:val="yellow"/>
              </w:rPr>
            </w:pPr>
            <w:r>
              <w:rPr>
                <w:rFonts w:hint="eastAsia" w:cs="宋体" w:asciiTheme="minorEastAsia" w:hAnsiTheme="minorEastAsia"/>
                <w:sz w:val="24"/>
                <w:szCs w:val="24"/>
              </w:rPr>
              <w:t>-10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5"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 xml:space="preserve">5.擅自修改经招标人确认交易文件的  </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1"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6.不按照相关法律法规规定编制交易文件，制定排他性条款的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5"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7.招标文件内容存在违反法律法规强制性规定、重大错误或疏漏，影响招标结果，造成恶劣影响的</w:t>
            </w:r>
          </w:p>
        </w:tc>
        <w:tc>
          <w:tcPr>
            <w:tcW w:w="709" w:type="dxa"/>
            <w:tcBorders>
              <w:top w:val="single" w:color="auto" w:sz="4" w:space="0"/>
              <w:left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-50</w:t>
            </w:r>
          </w:p>
        </w:tc>
        <w:tc>
          <w:tcPr>
            <w:tcW w:w="708" w:type="dxa"/>
            <w:tcBorders>
              <w:top w:val="single" w:color="auto"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25" w:type="dxa"/>
            <w:vMerge w:val="restart"/>
            <w:tcBorders>
              <w:top w:val="single" w:color="000000"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3</w:t>
            </w:r>
          </w:p>
        </w:tc>
        <w:tc>
          <w:tcPr>
            <w:tcW w:w="568" w:type="dxa"/>
            <w:vMerge w:val="restart"/>
            <w:tcBorders>
              <w:top w:val="single" w:color="000000"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交易过程</w:t>
            </w:r>
          </w:p>
        </w:tc>
        <w:tc>
          <w:tcPr>
            <w:tcW w:w="8080" w:type="dxa"/>
            <w:tcBorders>
              <w:top w:val="single" w:color="000000" w:sz="4" w:space="0"/>
              <w:left w:val="single" w:color="000000" w:sz="4" w:space="0"/>
              <w:bottom w:val="single" w:color="000000"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1.未认真履行对项目招标人应尽到的提醒义务，影响交易工作正常进行的</w:t>
            </w:r>
          </w:p>
        </w:tc>
        <w:tc>
          <w:tcPr>
            <w:tcW w:w="709" w:type="dxa"/>
            <w:tcBorders>
              <w:top w:val="single" w:color="000000" w:sz="4" w:space="0"/>
              <w:left w:val="single" w:color="auto" w:sz="4" w:space="0"/>
              <w:bottom w:val="single" w:color="000000" w:sz="4" w:space="0"/>
              <w:right w:val="single" w:color="000000" w:sz="4" w:space="0"/>
            </w:tcBorders>
            <w:vAlign w:val="center"/>
          </w:tcPr>
          <w:p>
            <w:pPr>
              <w:spacing w:line="480" w:lineRule="exact"/>
              <w:ind w:firstLine="120" w:firstLineChars="50"/>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cs="宋体" w:asciiTheme="minorEastAsia" w:hAnsiTheme="minorEastAsia"/>
                <w:sz w:val="24"/>
                <w:szCs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5"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000000"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2.不熟悉相关法律法规及公共资源进场交易流程，影响进场交易项目进行的</w:t>
            </w:r>
          </w:p>
        </w:tc>
        <w:tc>
          <w:tcPr>
            <w:tcW w:w="709" w:type="dxa"/>
            <w:tcBorders>
              <w:top w:val="single" w:color="000000" w:sz="4" w:space="0"/>
              <w:left w:val="single" w:color="auto" w:sz="4" w:space="0"/>
              <w:bottom w:val="single" w:color="auto" w:sz="4" w:space="0"/>
              <w:right w:val="single" w:color="000000" w:sz="4" w:space="0"/>
            </w:tcBorders>
            <w:vAlign w:val="center"/>
          </w:tcPr>
          <w:p>
            <w:pPr>
              <w:spacing w:line="480" w:lineRule="exact"/>
              <w:ind w:firstLine="120" w:firstLineChars="50"/>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000000"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5"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000000"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3.因准备不充分、数据录入有误等造成开标秩序混乱、开评标工作延误的</w:t>
            </w:r>
            <w:r>
              <w:rPr>
                <w:rFonts w:cs="宋体" w:asciiTheme="minorEastAsia" w:hAnsiTheme="minorEastAsia"/>
                <w:sz w:val="24"/>
                <w:szCs w:val="24"/>
              </w:rPr>
              <w:t xml:space="preserve"> </w:t>
            </w:r>
          </w:p>
        </w:tc>
        <w:tc>
          <w:tcPr>
            <w:tcW w:w="709" w:type="dxa"/>
            <w:tcBorders>
              <w:top w:val="single" w:color="auto" w:sz="4" w:space="0"/>
              <w:left w:val="single" w:color="auto" w:sz="4" w:space="0"/>
              <w:bottom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 xml:space="preserve"> -5</w:t>
            </w:r>
          </w:p>
        </w:tc>
        <w:tc>
          <w:tcPr>
            <w:tcW w:w="708" w:type="dxa"/>
            <w:tcBorders>
              <w:top w:val="single" w:color="auto" w:sz="4" w:space="0"/>
              <w:left w:val="single" w:color="000000" w:sz="4" w:space="0"/>
              <w:bottom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6"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000000"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4.未按时限提交专家抽取申请及招标人评委名单，影响专家抽取和项目正常进行的</w:t>
            </w:r>
          </w:p>
        </w:tc>
        <w:tc>
          <w:tcPr>
            <w:tcW w:w="709" w:type="dxa"/>
            <w:tcBorders>
              <w:top w:val="single" w:color="000000" w:sz="4" w:space="0"/>
              <w:left w:val="single" w:color="auto" w:sz="4" w:space="0"/>
              <w:bottom w:val="single" w:color="auto" w:sz="4" w:space="0"/>
              <w:right w:val="single" w:color="000000" w:sz="4" w:space="0"/>
            </w:tcBorders>
            <w:vAlign w:val="center"/>
          </w:tcPr>
          <w:p>
            <w:pPr>
              <w:spacing w:line="480" w:lineRule="exact"/>
              <w:ind w:firstLine="120" w:firstLineChars="50"/>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000000"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4"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5.经查实将专家评审、交通、餐食等费用转嫁给中标人支付的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1"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6.未协助招标人按法定时限签订合同的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1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7.不遵守交易平台管理制度，未按时限提供专家类别，变相排斥、拒绝远程异地评标的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-10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7"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8.招标公吿、招标文件、修改澄清、评标结果及中标人（候选人）等信息未按法定时间公告的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-10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5"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9.因专业水平、组织安排等方面出现失误，被招标人评价为不合格的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-10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3"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asciiTheme="minorEastAsia" w:hAnsiTheme="minorEastAsia"/>
                <w:sz w:val="24"/>
                <w:szCs w:val="24"/>
              </w:rPr>
              <w:t>10</w:t>
            </w:r>
            <w:r>
              <w:rPr>
                <w:rFonts w:hint="eastAsia"/>
                <w:sz w:val="24"/>
                <w:szCs w:val="24"/>
              </w:rPr>
              <w:t>.出现违法违规、不服从监管情形，被行政监督部门评价为不合格的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9"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asciiTheme="minorEastAsia" w:hAnsiTheme="minorEastAsia"/>
                <w:sz w:val="24"/>
                <w:szCs w:val="24"/>
              </w:rPr>
              <w:t>11.</w:t>
            </w:r>
            <w:r>
              <w:rPr>
                <w:rFonts w:hint="eastAsia" w:cs="宋体" w:asciiTheme="minorEastAsia" w:hAnsiTheme="minorEastAsia"/>
                <w:sz w:val="24"/>
                <w:szCs w:val="24"/>
              </w:rPr>
              <w:t>在电子交易系统操作失误，导致招标失败，项目延期的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85" w:hRule="atLeast"/>
        </w:trPr>
        <w:tc>
          <w:tcPr>
            <w:tcW w:w="425" w:type="dxa"/>
            <w:vMerge w:val="restart"/>
            <w:tcBorders>
              <w:top w:val="single" w:color="auto"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4</w:t>
            </w:r>
          </w:p>
        </w:tc>
        <w:tc>
          <w:tcPr>
            <w:tcW w:w="568" w:type="dxa"/>
            <w:vMerge w:val="restart"/>
            <w:tcBorders>
              <w:top w:val="single" w:color="auto"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质疑投诉</w:t>
            </w:r>
          </w:p>
        </w:tc>
        <w:tc>
          <w:tcPr>
            <w:tcW w:w="8080" w:type="dxa"/>
            <w:tcBorders>
              <w:top w:val="single" w:color="000000"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1.因自身工作不规范，造成质疑投诉的</w:t>
            </w:r>
          </w:p>
        </w:tc>
        <w:tc>
          <w:tcPr>
            <w:tcW w:w="709" w:type="dxa"/>
            <w:tcBorders>
              <w:top w:val="single" w:color="000000"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000000"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2.因项目前期资料收集、保管不当，影响质疑、投诉处理进度的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5"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3.未按规定对质疑、投诉问题明确响应，存在推诿现象的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highlight w:val="yellow"/>
              </w:rPr>
            </w:pPr>
            <w:r>
              <w:rPr>
                <w:rFonts w:hint="eastAsia" w:cs="宋体" w:asciiTheme="minorEastAsia" w:hAnsiTheme="minorEastAsia"/>
                <w:sz w:val="24"/>
                <w:szCs w:val="24"/>
              </w:rPr>
              <w:t>4.未按规定对质疑、投诉问题做出处理，导致招标失败和其他不良后果的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0" w:hRule="atLeast"/>
        </w:trPr>
        <w:tc>
          <w:tcPr>
            <w:tcW w:w="425"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highlight w:val="yellow"/>
              </w:rPr>
            </w:pPr>
            <w:r>
              <w:rPr>
                <w:rFonts w:hint="eastAsia" w:cs="宋体" w:asciiTheme="minorEastAsia" w:hAnsiTheme="minorEastAsia"/>
                <w:sz w:val="24"/>
                <w:szCs w:val="24"/>
              </w:rPr>
              <w:t>5.不配合或拒绝接受监管局、行政监督部门处理质疑投诉，隐瞒有关情况或提供虚假资料的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1" w:hRule="atLeast"/>
        </w:trPr>
        <w:tc>
          <w:tcPr>
            <w:tcW w:w="425" w:type="dxa"/>
            <w:tcBorders>
              <w:top w:val="single" w:color="auto"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c>
          <w:tcPr>
            <w:tcW w:w="568" w:type="dxa"/>
            <w:tcBorders>
              <w:top w:val="single" w:color="auto" w:sz="4" w:space="0"/>
              <w:left w:val="single" w:color="000000" w:sz="4" w:space="0"/>
              <w:right w:val="single" w:color="000000" w:sz="4" w:space="0"/>
            </w:tcBorders>
            <w:vAlign w:val="center"/>
          </w:tcPr>
          <w:p>
            <w:pPr>
              <w:spacing w:line="360" w:lineRule="exact"/>
              <w:jc w:val="center"/>
              <w:rPr>
                <w:rFonts w:cs="宋体" w:asciiTheme="minorEastAsia" w:hAnsiTheme="minorEastAsia"/>
                <w:sz w:val="24"/>
                <w:szCs w:val="24"/>
              </w:rPr>
            </w:pPr>
            <w:r>
              <w:rPr>
                <w:rFonts w:hint="eastAsia" w:cs="宋体" w:asciiTheme="minorEastAsia" w:hAnsiTheme="minorEastAsia"/>
                <w:sz w:val="24"/>
                <w:szCs w:val="24"/>
              </w:rPr>
              <w:t>档案</w:t>
            </w:r>
          </w:p>
        </w:tc>
        <w:tc>
          <w:tcPr>
            <w:tcW w:w="8080" w:type="dxa"/>
            <w:tcBorders>
              <w:top w:val="single" w:color="auto" w:sz="4" w:space="0"/>
              <w:left w:val="single" w:color="000000"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隐匿、销毁、伪造、变造应妥善保存交易资料的</w:t>
            </w:r>
          </w:p>
        </w:tc>
        <w:tc>
          <w:tcPr>
            <w:tcW w:w="709" w:type="dxa"/>
            <w:tcBorders>
              <w:top w:val="single" w:color="auto" w:sz="4" w:space="0"/>
              <w:left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-50</w:t>
            </w:r>
          </w:p>
        </w:tc>
        <w:tc>
          <w:tcPr>
            <w:tcW w:w="708" w:type="dxa"/>
            <w:tcBorders>
              <w:top w:val="single" w:color="auto"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8" w:hRule="atLeast"/>
        </w:trPr>
        <w:tc>
          <w:tcPr>
            <w:tcW w:w="425" w:type="dxa"/>
            <w:vMerge w:val="restart"/>
            <w:tcBorders>
              <w:top w:val="single" w:color="auto" w:sz="4" w:space="0"/>
              <w:left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6</w:t>
            </w:r>
          </w:p>
        </w:tc>
        <w:tc>
          <w:tcPr>
            <w:tcW w:w="568" w:type="dxa"/>
            <w:vMerge w:val="restart"/>
            <w:tcBorders>
              <w:top w:val="single" w:color="auto"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奖励</w:t>
            </w:r>
          </w:p>
        </w:tc>
        <w:tc>
          <w:tcPr>
            <w:tcW w:w="8080" w:type="dxa"/>
            <w:tcBorders>
              <w:top w:val="single" w:color="auto" w:sz="4" w:space="0"/>
              <w:left w:val="single" w:color="000000"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1.获得旗、县级及以上人民政府、行政监督部门的表彰或奖励的</w:t>
            </w:r>
          </w:p>
        </w:tc>
        <w:tc>
          <w:tcPr>
            <w:tcW w:w="709" w:type="dxa"/>
            <w:tcBorders>
              <w:top w:val="single" w:color="auto" w:sz="4" w:space="0"/>
              <w:left w:val="single" w:color="auto" w:sz="4" w:space="0"/>
              <w:right w:val="single" w:color="000000" w:sz="4" w:space="0"/>
            </w:tcBorders>
            <w:vAlign w:val="center"/>
          </w:tcPr>
          <w:p>
            <w:pPr>
              <w:spacing w:line="480" w:lineRule="exact"/>
              <w:rPr>
                <w:rFonts w:cs="宋体" w:asciiTheme="minorEastAsia" w:hAnsiTheme="minorEastAsia"/>
                <w:sz w:val="24"/>
                <w:szCs w:val="24"/>
              </w:rPr>
            </w:pPr>
          </w:p>
        </w:tc>
        <w:tc>
          <w:tcPr>
            <w:tcW w:w="708" w:type="dxa"/>
            <w:tcBorders>
              <w:top w:val="single" w:color="auto"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34" w:hRule="atLeast"/>
        </w:trPr>
        <w:tc>
          <w:tcPr>
            <w:tcW w:w="425" w:type="dxa"/>
            <w:vMerge w:val="continue"/>
            <w:tcBorders>
              <w:top w:val="single" w:color="auto" w:sz="4" w:space="0"/>
              <w:left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top w:val="single" w:color="auto"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2.</w:t>
            </w:r>
            <w:r>
              <w:rPr>
                <w:rFonts w:hint="eastAsia" w:asciiTheme="minorEastAsia" w:hAnsiTheme="minorEastAsia"/>
                <w:sz w:val="24"/>
                <w:szCs w:val="24"/>
              </w:rPr>
              <w:t>在各级招投标协会组织的各项活动评选中获</w:t>
            </w:r>
            <w:r>
              <w:rPr>
                <w:rFonts w:hint="eastAsia" w:cs="宋体" w:asciiTheme="minorEastAsia" w:hAnsiTheme="minorEastAsia"/>
                <w:sz w:val="24"/>
                <w:szCs w:val="24"/>
              </w:rPr>
              <w:t>奖的（其中,国家级5分、自治区级3分、盟市级2分）</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rPr>
                <w:rFonts w:cs="宋体" w:asciiTheme="minorEastAsia" w:hAnsiTheme="minorEastAsia"/>
                <w:sz w:val="24"/>
                <w:szCs w:val="24"/>
              </w:rPr>
            </w:pP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6" w:hRule="atLeast"/>
        </w:trPr>
        <w:tc>
          <w:tcPr>
            <w:tcW w:w="425" w:type="dxa"/>
            <w:vMerge w:val="continue"/>
            <w:tcBorders>
              <w:left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3.</w:t>
            </w:r>
            <w:r>
              <w:rPr>
                <w:rFonts w:hint="eastAsia"/>
                <w:sz w:val="24"/>
                <w:szCs w:val="24"/>
              </w:rPr>
              <w:t>获得</w:t>
            </w:r>
            <w:r>
              <w:rPr>
                <w:rFonts w:hint="eastAsia" w:cs="宋体" w:asciiTheme="minorEastAsia" w:hAnsiTheme="minorEastAsia"/>
                <w:sz w:val="24"/>
                <w:szCs w:val="24"/>
              </w:rPr>
              <w:t>市级（含）以上人民政府及其有关部门表彰、奖励，或被监管局、行政监督部门评价为优秀的</w:t>
            </w:r>
            <w:r>
              <w:rPr>
                <w:rFonts w:cs="宋体" w:asciiTheme="minorEastAsia" w:hAnsiTheme="minorEastAsia"/>
                <w:sz w:val="24"/>
                <w:szCs w:val="24"/>
              </w:rPr>
              <w:t xml:space="preserve"> </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rPr>
                <w:rFonts w:cs="宋体" w:asciiTheme="minorEastAsia" w:hAnsiTheme="minorEastAsia"/>
                <w:sz w:val="24"/>
                <w:szCs w:val="24"/>
              </w:rPr>
            </w:pP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425" w:type="dxa"/>
            <w:vMerge w:val="continue"/>
            <w:tcBorders>
              <w:left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bottom w:val="single" w:color="auto"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4.对标准文件范本提出合理化建议被采纳，或被列为参考文本；或一个年度内在国家级期刊上发表两篇（含）以上专业论文的</w:t>
            </w:r>
          </w:p>
        </w:tc>
        <w:tc>
          <w:tcPr>
            <w:tcW w:w="709" w:type="dxa"/>
            <w:tcBorders>
              <w:top w:val="single" w:color="auto" w:sz="4" w:space="0"/>
              <w:left w:val="single" w:color="auto" w:sz="4" w:space="0"/>
              <w:bottom w:val="single" w:color="auto" w:sz="4" w:space="0"/>
              <w:right w:val="single" w:color="000000" w:sz="4" w:space="0"/>
            </w:tcBorders>
            <w:vAlign w:val="center"/>
          </w:tcPr>
          <w:p>
            <w:pPr>
              <w:spacing w:line="480" w:lineRule="exact"/>
              <w:rPr>
                <w:rFonts w:cs="宋体" w:asciiTheme="minorEastAsia" w:hAnsiTheme="minorEastAsia"/>
                <w:sz w:val="24"/>
                <w:szCs w:val="24"/>
              </w:rPr>
            </w:pPr>
          </w:p>
        </w:tc>
        <w:tc>
          <w:tcPr>
            <w:tcW w:w="708" w:type="dxa"/>
            <w:tcBorders>
              <w:top w:val="single" w:color="auto" w:sz="4" w:space="0"/>
              <w:left w:val="single" w:color="000000" w:sz="4" w:space="0"/>
              <w:bottom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2" w:hRule="atLeast"/>
        </w:trPr>
        <w:tc>
          <w:tcPr>
            <w:tcW w:w="425" w:type="dxa"/>
            <w:vMerge w:val="continue"/>
            <w:tcBorders>
              <w:left w:val="single" w:color="auto"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568" w:type="dxa"/>
            <w:vMerge w:val="continue"/>
            <w:tcBorders>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p>
        </w:tc>
        <w:tc>
          <w:tcPr>
            <w:tcW w:w="8080" w:type="dxa"/>
            <w:tcBorders>
              <w:top w:val="single" w:color="auto" w:sz="4" w:space="0"/>
              <w:left w:val="single" w:color="000000" w:sz="4" w:space="0"/>
              <w:right w:val="single" w:color="auto" w:sz="4" w:space="0"/>
            </w:tcBorders>
            <w:vAlign w:val="center"/>
          </w:tcPr>
          <w:p>
            <w:pPr>
              <w:spacing w:line="420" w:lineRule="exact"/>
              <w:rPr>
                <w:rFonts w:cs="宋体" w:asciiTheme="minorEastAsia" w:hAnsiTheme="minorEastAsia"/>
                <w:sz w:val="24"/>
                <w:szCs w:val="24"/>
              </w:rPr>
            </w:pPr>
            <w:r>
              <w:rPr>
                <w:rFonts w:hint="eastAsia" w:cs="宋体" w:asciiTheme="minorEastAsia" w:hAnsiTheme="minorEastAsia"/>
                <w:sz w:val="24"/>
                <w:szCs w:val="24"/>
              </w:rPr>
              <w:t>5.主动反映招投标活动过程中的违法违规行为，经行政监督部门查证属实；或在交易活动过程中有效制止重大违法违规行为的</w:t>
            </w:r>
          </w:p>
        </w:tc>
        <w:tc>
          <w:tcPr>
            <w:tcW w:w="709" w:type="dxa"/>
            <w:tcBorders>
              <w:top w:val="single" w:color="auto" w:sz="4" w:space="0"/>
              <w:left w:val="single" w:color="auto" w:sz="4" w:space="0"/>
              <w:right w:val="single" w:color="000000" w:sz="4" w:space="0"/>
            </w:tcBorders>
            <w:vAlign w:val="center"/>
          </w:tcPr>
          <w:p>
            <w:pPr>
              <w:spacing w:line="480" w:lineRule="exact"/>
              <w:rPr>
                <w:rFonts w:cs="宋体" w:asciiTheme="minorEastAsia" w:hAnsiTheme="minorEastAsia"/>
                <w:sz w:val="24"/>
                <w:szCs w:val="24"/>
              </w:rPr>
            </w:pPr>
          </w:p>
        </w:tc>
        <w:tc>
          <w:tcPr>
            <w:tcW w:w="708" w:type="dxa"/>
            <w:tcBorders>
              <w:top w:val="single" w:color="auto" w:sz="4" w:space="0"/>
              <w:left w:val="single" w:color="000000" w:sz="4" w:space="0"/>
              <w:right w:val="single" w:color="000000" w:sz="4" w:space="0"/>
            </w:tcBorders>
            <w:vAlign w:val="center"/>
          </w:tcPr>
          <w:p>
            <w:pPr>
              <w:spacing w:line="480" w:lineRule="exact"/>
              <w:jc w:val="center"/>
              <w:rPr>
                <w:rFonts w:cs="宋体" w:asciiTheme="minorEastAsia" w:hAnsiTheme="minorEastAsia"/>
                <w:sz w:val="24"/>
                <w:szCs w:val="24"/>
              </w:rPr>
            </w:pPr>
            <w:r>
              <w:rPr>
                <w:rFonts w:hint="eastAsia" w:cs="宋体" w:asciiTheme="minorEastAsia" w:hAnsiTheme="minorEastAsia"/>
                <w:sz w:val="24"/>
                <w:szCs w:val="24"/>
              </w:rPr>
              <w:t>20</w:t>
            </w:r>
          </w:p>
        </w:tc>
      </w:tr>
    </w:tbl>
    <w:p>
      <w:pPr>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imbus Roman No9 L">
    <w:panose1 w:val="00000000000000000000"/>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6766375"/>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MmE5NTAyMWZmYmUwZDRjZDJhMWVhMjc4NDc1ZDYifQ=="/>
  </w:docVars>
  <w:rsids>
    <w:rsidRoot w:val="001A6C39"/>
    <w:rsid w:val="000141A7"/>
    <w:rsid w:val="000160E4"/>
    <w:rsid w:val="00020649"/>
    <w:rsid w:val="00034CA4"/>
    <w:rsid w:val="000B4709"/>
    <w:rsid w:val="000C2382"/>
    <w:rsid w:val="000E707D"/>
    <w:rsid w:val="000F33CC"/>
    <w:rsid w:val="00146BA0"/>
    <w:rsid w:val="00191A74"/>
    <w:rsid w:val="001A6C39"/>
    <w:rsid w:val="001B3A63"/>
    <w:rsid w:val="001F7508"/>
    <w:rsid w:val="00216143"/>
    <w:rsid w:val="0022404B"/>
    <w:rsid w:val="0026539F"/>
    <w:rsid w:val="002715BC"/>
    <w:rsid w:val="002744EA"/>
    <w:rsid w:val="0028295B"/>
    <w:rsid w:val="002B0DA1"/>
    <w:rsid w:val="002C3193"/>
    <w:rsid w:val="002D03BD"/>
    <w:rsid w:val="002D275E"/>
    <w:rsid w:val="00315B1E"/>
    <w:rsid w:val="00323869"/>
    <w:rsid w:val="00327240"/>
    <w:rsid w:val="0034577A"/>
    <w:rsid w:val="004116FF"/>
    <w:rsid w:val="00435118"/>
    <w:rsid w:val="004A0183"/>
    <w:rsid w:val="004E677D"/>
    <w:rsid w:val="005039AF"/>
    <w:rsid w:val="0054330D"/>
    <w:rsid w:val="005525FE"/>
    <w:rsid w:val="005544A8"/>
    <w:rsid w:val="00577E89"/>
    <w:rsid w:val="00585486"/>
    <w:rsid w:val="00607654"/>
    <w:rsid w:val="00612CA7"/>
    <w:rsid w:val="0061668F"/>
    <w:rsid w:val="0062534B"/>
    <w:rsid w:val="00637DF9"/>
    <w:rsid w:val="00643C2D"/>
    <w:rsid w:val="006B3032"/>
    <w:rsid w:val="006B7B2D"/>
    <w:rsid w:val="00700B54"/>
    <w:rsid w:val="00704C48"/>
    <w:rsid w:val="0077636F"/>
    <w:rsid w:val="007A0147"/>
    <w:rsid w:val="007A7CF4"/>
    <w:rsid w:val="007C14EE"/>
    <w:rsid w:val="007D48B6"/>
    <w:rsid w:val="007D78BF"/>
    <w:rsid w:val="007E268E"/>
    <w:rsid w:val="007E4021"/>
    <w:rsid w:val="00884B8F"/>
    <w:rsid w:val="008878F0"/>
    <w:rsid w:val="008B719E"/>
    <w:rsid w:val="008D3E49"/>
    <w:rsid w:val="008D4131"/>
    <w:rsid w:val="009041B4"/>
    <w:rsid w:val="00946A79"/>
    <w:rsid w:val="009773B8"/>
    <w:rsid w:val="00983A68"/>
    <w:rsid w:val="009C15CA"/>
    <w:rsid w:val="009F0AB5"/>
    <w:rsid w:val="00A157F4"/>
    <w:rsid w:val="00A46AE9"/>
    <w:rsid w:val="00A530F5"/>
    <w:rsid w:val="00A558E6"/>
    <w:rsid w:val="00A95047"/>
    <w:rsid w:val="00A9725F"/>
    <w:rsid w:val="00AA6D3C"/>
    <w:rsid w:val="00AA7E86"/>
    <w:rsid w:val="00AB5F7F"/>
    <w:rsid w:val="00AC759B"/>
    <w:rsid w:val="00AE482C"/>
    <w:rsid w:val="00AF1CF8"/>
    <w:rsid w:val="00B3220E"/>
    <w:rsid w:val="00B52B0F"/>
    <w:rsid w:val="00B86DB8"/>
    <w:rsid w:val="00B87E3A"/>
    <w:rsid w:val="00BD2800"/>
    <w:rsid w:val="00C129E6"/>
    <w:rsid w:val="00C153A6"/>
    <w:rsid w:val="00C25C06"/>
    <w:rsid w:val="00C40404"/>
    <w:rsid w:val="00C631D6"/>
    <w:rsid w:val="00C760CD"/>
    <w:rsid w:val="00CB0533"/>
    <w:rsid w:val="00CB7B94"/>
    <w:rsid w:val="00CF4ED9"/>
    <w:rsid w:val="00CF7A7D"/>
    <w:rsid w:val="00D118B4"/>
    <w:rsid w:val="00D83974"/>
    <w:rsid w:val="00D83CFC"/>
    <w:rsid w:val="00E13A58"/>
    <w:rsid w:val="00E44DEA"/>
    <w:rsid w:val="00E63A2B"/>
    <w:rsid w:val="00EC754B"/>
    <w:rsid w:val="00ED2CEE"/>
    <w:rsid w:val="00EE3375"/>
    <w:rsid w:val="00F172BA"/>
    <w:rsid w:val="00F324D4"/>
    <w:rsid w:val="00F60554"/>
    <w:rsid w:val="00F64396"/>
    <w:rsid w:val="00F653EA"/>
    <w:rsid w:val="00F80A99"/>
    <w:rsid w:val="00F80AF1"/>
    <w:rsid w:val="00FC2B4F"/>
    <w:rsid w:val="00FE67E0"/>
    <w:rsid w:val="03B66504"/>
    <w:rsid w:val="0591547A"/>
    <w:rsid w:val="08803203"/>
    <w:rsid w:val="0F027121"/>
    <w:rsid w:val="13331673"/>
    <w:rsid w:val="19962C07"/>
    <w:rsid w:val="1B4F19DE"/>
    <w:rsid w:val="1C2F4C4D"/>
    <w:rsid w:val="26B648E9"/>
    <w:rsid w:val="337A6C9E"/>
    <w:rsid w:val="33FE167D"/>
    <w:rsid w:val="35CD57AB"/>
    <w:rsid w:val="36354E1E"/>
    <w:rsid w:val="375F29FE"/>
    <w:rsid w:val="389B6E83"/>
    <w:rsid w:val="3B6A05DB"/>
    <w:rsid w:val="432D5ADB"/>
    <w:rsid w:val="45DD1245"/>
    <w:rsid w:val="4601370C"/>
    <w:rsid w:val="478E76FA"/>
    <w:rsid w:val="4F4F2935"/>
    <w:rsid w:val="51D51818"/>
    <w:rsid w:val="51EA3552"/>
    <w:rsid w:val="522B58DB"/>
    <w:rsid w:val="5364034C"/>
    <w:rsid w:val="56AF0889"/>
    <w:rsid w:val="5AB53EAA"/>
    <w:rsid w:val="6096059D"/>
    <w:rsid w:val="65EB4A13"/>
    <w:rsid w:val="68951CDB"/>
    <w:rsid w:val="6BC73B27"/>
    <w:rsid w:val="6BD910F3"/>
    <w:rsid w:val="6D43179C"/>
    <w:rsid w:val="6E812524"/>
    <w:rsid w:val="792C76C0"/>
    <w:rsid w:val="79693267"/>
    <w:rsid w:val="7C0D46FB"/>
    <w:rsid w:val="7F252B20"/>
    <w:rsid w:val="FF7D0E25"/>
    <w:rsid w:val="FF7EF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312</Words>
  <Characters>1781</Characters>
  <Lines>14</Lines>
  <Paragraphs>4</Paragraphs>
  <TotalTime>190</TotalTime>
  <ScaleCrop>false</ScaleCrop>
  <LinksUpToDate>false</LinksUpToDate>
  <CharactersWithSpaces>2089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2022-05-30T17:16:00Z</dcterms:created>
  <dc:creator>PC</dc:creator>
  <cp:lastModifiedBy>uos</cp:lastModifiedBy>
  <cp:lastPrinted>2022-07-15T18:04:00Z</cp:lastPrinted>
  <dcterms:modified xsi:type="dcterms:W3CDTF">2022-07-15T11:26:50Z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8E54BEAF25D4432B84E178C518D9319A</vt:lpwstr>
  </property>
</Properties>
</file>