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3" w:line="560" w:lineRule="exact"/>
        <w:jc w:val="both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32"/>
          <w:szCs w:val="32"/>
          <w:lang w:eastAsia="zh-CN"/>
        </w:rPr>
        <w:t>附件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32"/>
          <w:szCs w:val="32"/>
          <w:lang w:val="en-US" w:eastAsia="zh-CN"/>
        </w:rPr>
        <w:t xml:space="preserve">             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3" w:line="560" w:lineRule="exact"/>
        <w:ind w:firstLine="5720" w:firstLineChars="1300"/>
        <w:jc w:val="both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44"/>
          <w:szCs w:val="44"/>
        </w:rPr>
        <w:t>任 务 清 单 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方正小标宋_GBK" w:hAnsi="方正小标宋_GBK" w:eastAsia="方正小标宋_GBK" w:cs="方正小标宋_GBK"/>
          <w:spacing w:val="0"/>
          <w:sz w:val="32"/>
          <w:szCs w:val="32"/>
        </w:rPr>
      </w:pPr>
    </w:p>
    <w:tbl>
      <w:tblPr>
        <w:tblStyle w:val="7"/>
        <w:tblW w:w="1500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8"/>
        <w:gridCol w:w="7086"/>
        <w:gridCol w:w="2607"/>
        <w:gridCol w:w="1778"/>
        <w:gridCol w:w="1763"/>
        <w:gridCol w:w="8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08" w:type="dxa"/>
            <w:vAlign w:val="center"/>
          </w:tcPr>
          <w:p>
            <w:pPr>
              <w:pStyle w:val="2"/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7086" w:type="dxa"/>
            <w:vAlign w:val="center"/>
          </w:tcPr>
          <w:p>
            <w:pPr>
              <w:pStyle w:val="2"/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落实举措</w:t>
            </w:r>
          </w:p>
        </w:tc>
        <w:tc>
          <w:tcPr>
            <w:tcW w:w="2607" w:type="dxa"/>
            <w:vAlign w:val="center"/>
          </w:tcPr>
          <w:p>
            <w:pPr>
              <w:pStyle w:val="2"/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责任单位</w:t>
            </w:r>
          </w:p>
        </w:tc>
        <w:tc>
          <w:tcPr>
            <w:tcW w:w="1778" w:type="dxa"/>
            <w:vAlign w:val="center"/>
          </w:tcPr>
          <w:p>
            <w:pPr>
              <w:pStyle w:val="2"/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上期工作</w:t>
            </w:r>
          </w:p>
          <w:p>
            <w:pPr>
              <w:pStyle w:val="2"/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进展</w:t>
            </w:r>
          </w:p>
        </w:tc>
        <w:tc>
          <w:tcPr>
            <w:tcW w:w="1763" w:type="dxa"/>
            <w:vAlign w:val="center"/>
          </w:tcPr>
          <w:p>
            <w:pPr>
              <w:pStyle w:val="2"/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本期工作</w:t>
            </w:r>
          </w:p>
          <w:p>
            <w:pPr>
              <w:pStyle w:val="2"/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进展</w:t>
            </w:r>
          </w:p>
        </w:tc>
        <w:tc>
          <w:tcPr>
            <w:tcW w:w="865" w:type="dxa"/>
            <w:vAlign w:val="center"/>
          </w:tcPr>
          <w:p>
            <w:pPr>
              <w:pStyle w:val="2"/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9" w:hRule="atLeast"/>
          <w:jc w:val="center"/>
        </w:trPr>
        <w:tc>
          <w:tcPr>
            <w:tcW w:w="908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560" w:lineRule="exact"/>
              <w:ind w:left="0" w:lef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1</w:t>
            </w:r>
          </w:p>
        </w:tc>
        <w:tc>
          <w:tcPr>
            <w:tcW w:w="708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240" w:lineRule="auto"/>
              <w:ind w:left="0" w:right="0" w:firstLine="480" w:firstLineChars="200"/>
              <w:jc w:val="left"/>
              <w:textAlignment w:val="baseline"/>
              <w:outlineLvl w:val="9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组织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市属及驻呼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高校和科研机构对存量专利进行全面盘点梳理，形成盘活专利产业化的典型案例，持续做优专利增量，加快建立以产业需求为导向的专利创造和运用机制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607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line="240" w:lineRule="auto"/>
              <w:ind w:left="0" w:right="0" w:firstLine="19"/>
              <w:jc w:val="center"/>
              <w:textAlignment w:val="baseline"/>
              <w:outlineLvl w:val="9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呼和浩特市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职业学院，市场监管局、科技局</w:t>
            </w:r>
          </w:p>
        </w:tc>
        <w:tc>
          <w:tcPr>
            <w:tcW w:w="17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08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560" w:lineRule="exact"/>
              <w:ind w:left="0" w:lef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2</w:t>
            </w:r>
          </w:p>
        </w:tc>
        <w:tc>
          <w:tcPr>
            <w:tcW w:w="708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240" w:lineRule="auto"/>
              <w:ind w:left="0" w:right="0" w:firstLine="480" w:firstLineChars="200"/>
              <w:jc w:val="left"/>
              <w:textAlignment w:val="baseline"/>
              <w:outlineLvl w:val="9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以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国家知识产权运营服务平台、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自治区知识产权相关平台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eastAsia="zh-CN"/>
              </w:rPr>
              <w:t>、呼和浩特市知识产权公共服务平台及北方知识产权大数据中心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为依托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，以大数据分析为基础，开展专利分级分类管理和存量专利价值评佔，筛选具有市场潜在价值的专利，依托国家知识产权运营服务平台体系统一线上登记入库，同时在自治区知识产权公共服务平台登记入库。</w:t>
            </w:r>
          </w:p>
        </w:tc>
        <w:tc>
          <w:tcPr>
            <w:tcW w:w="2607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240" w:lineRule="auto"/>
              <w:ind w:left="0" w:right="0"/>
              <w:jc w:val="center"/>
              <w:textAlignment w:val="baseline"/>
              <w:outlineLvl w:val="9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市场监管局，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呼和浩特职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业学院</w:t>
            </w:r>
          </w:p>
        </w:tc>
        <w:tc>
          <w:tcPr>
            <w:tcW w:w="17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1" w:hRule="atLeast"/>
          <w:jc w:val="center"/>
        </w:trPr>
        <w:tc>
          <w:tcPr>
            <w:tcW w:w="908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560" w:lineRule="exact"/>
              <w:ind w:left="0" w:lef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3</w:t>
            </w:r>
          </w:p>
        </w:tc>
        <w:tc>
          <w:tcPr>
            <w:tcW w:w="7086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240" w:lineRule="auto"/>
              <w:ind w:left="0" w:right="0" w:firstLine="480" w:firstLineChars="200"/>
              <w:jc w:val="left"/>
              <w:textAlignment w:val="baseline"/>
              <w:outlineLvl w:val="9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以重点产业需求为导向，通过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呼和浩特市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知识产权服务平台集中发布专利技术供给信息，开展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市属及驻呼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高校和科研机构向中小微企业专利转让、许可、作价入股等专利转化工作。</w:t>
            </w:r>
          </w:p>
        </w:tc>
        <w:tc>
          <w:tcPr>
            <w:tcW w:w="2607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240" w:lineRule="auto"/>
              <w:ind w:left="0" w:right="0"/>
              <w:jc w:val="center"/>
              <w:textAlignment w:val="baseline"/>
              <w:outlineLvl w:val="9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市场监管局，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呼和浩特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职业学院</w:t>
            </w:r>
          </w:p>
        </w:tc>
        <w:tc>
          <w:tcPr>
            <w:tcW w:w="1778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560" w:lineRule="exact"/>
              <w:ind w:firstLine="240" w:firstLineChars="10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560" w:lineRule="exact"/>
              <w:ind w:firstLine="240" w:firstLineChars="10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560" w:lineRule="exact"/>
              <w:ind w:firstLine="240" w:firstLineChars="10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0" w:hRule="atLeast"/>
          <w:jc w:val="center"/>
        </w:trPr>
        <w:tc>
          <w:tcPr>
            <w:tcW w:w="908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560" w:lineRule="exact"/>
              <w:ind w:left="0" w:lef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4</w:t>
            </w:r>
          </w:p>
        </w:tc>
        <w:tc>
          <w:tcPr>
            <w:tcW w:w="708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240" w:lineRule="auto"/>
              <w:ind w:left="0" w:right="0" w:firstLine="480" w:firstLineChars="200"/>
              <w:jc w:val="left"/>
              <w:textAlignment w:val="baseline"/>
              <w:outlineLvl w:val="9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梳理各类主体专利技术需求，汇聚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市属及驻呼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高校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科研机构专利技术，依托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自治区级呼和浩特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知识产权相关平台，构建可转化的专利资源库，通过大数据分析，将企业所属技术领域和产品信息等与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自治区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内外高校、科研机构专利信息进行匹配，建立差异化推广措施，开展专利供需对接活动，优化专利技术供需对接模式。到2025年底，围绕重点产业、重点学科，在促成专利转让、许可(含开放许可)或作价入股等方面有所突破。</w:t>
            </w:r>
          </w:p>
        </w:tc>
        <w:tc>
          <w:tcPr>
            <w:tcW w:w="2607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240" w:lineRule="auto"/>
              <w:ind w:left="0" w:right="0"/>
              <w:jc w:val="both"/>
              <w:textAlignment w:val="baseline"/>
              <w:outlineLvl w:val="9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市场监管局、工信局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呼和浩特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职业学院</w:t>
            </w:r>
          </w:p>
        </w:tc>
        <w:tc>
          <w:tcPr>
            <w:tcW w:w="1778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560" w:lineRule="exact"/>
              <w:ind w:firstLine="240" w:firstLineChars="10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560" w:lineRule="exact"/>
              <w:ind w:firstLine="240" w:firstLineChars="10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560" w:lineRule="exact"/>
              <w:ind w:firstLine="240" w:firstLineChars="10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1" w:hRule="atLeast"/>
          <w:jc w:val="center"/>
        </w:trPr>
        <w:tc>
          <w:tcPr>
            <w:tcW w:w="908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560" w:lineRule="exact"/>
              <w:ind w:left="0" w:lef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5</w:t>
            </w:r>
          </w:p>
        </w:tc>
        <w:tc>
          <w:tcPr>
            <w:tcW w:w="708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240" w:lineRule="auto"/>
              <w:ind w:left="0" w:right="0" w:firstLine="480" w:firstLineChars="200"/>
              <w:jc w:val="left"/>
              <w:textAlignment w:val="baseline"/>
              <w:outlineLvl w:val="9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围绕新能源、新材料、生物医药等特色产业，发布专利导航项目，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推动专利与产业标准融合，形成一批标准必要专利，促进产业迈向价值链中高端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607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240" w:lineRule="auto"/>
              <w:ind w:left="0" w:right="0"/>
              <w:jc w:val="center"/>
              <w:textAlignment w:val="baseline"/>
              <w:outlineLvl w:val="9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市场监管局</w:t>
            </w:r>
          </w:p>
        </w:tc>
        <w:tc>
          <w:tcPr>
            <w:tcW w:w="17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6" w:hRule="atLeast"/>
          <w:jc w:val="center"/>
        </w:trPr>
        <w:tc>
          <w:tcPr>
            <w:tcW w:w="908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560" w:lineRule="exact"/>
              <w:ind w:left="0" w:lef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08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240" w:lineRule="auto"/>
              <w:ind w:left="0" w:right="0" w:firstLine="480" w:firstLineChars="200"/>
              <w:jc w:val="left"/>
              <w:textAlignment w:val="baseline"/>
              <w:outlineLvl w:val="9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发挥知识产权强链补链延链作用，鼓励支持相关企业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积极申报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国家、自治区产业知识产权运营中心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项目；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91919"/>
                <w:spacing w:val="0"/>
                <w:sz w:val="24"/>
                <w:szCs w:val="24"/>
                <w:shd w:val="clear" w:fill="FFFFFF"/>
              </w:rPr>
              <w:t>支持专业机构对高新技术、专精特新、知识产权优势示范企业开展服务，支持一批科技型企业大幅提升专利产业化水平。</w:t>
            </w:r>
          </w:p>
        </w:tc>
        <w:tc>
          <w:tcPr>
            <w:tcW w:w="2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市场监管局、科技局、工信局</w:t>
            </w:r>
          </w:p>
        </w:tc>
        <w:tc>
          <w:tcPr>
            <w:tcW w:w="17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5" w:hRule="atLeast"/>
          <w:jc w:val="center"/>
        </w:trPr>
        <w:tc>
          <w:tcPr>
            <w:tcW w:w="908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560" w:lineRule="exact"/>
              <w:ind w:left="0" w:lef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08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240" w:lineRule="auto"/>
              <w:ind w:left="0" w:right="0" w:firstLine="480" w:firstLineChars="200"/>
              <w:jc w:val="left"/>
              <w:textAlignment w:val="baseline"/>
              <w:outlineLvl w:val="9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发挥知识产权强链补链延链作用，鼓励支持相关企业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积极申报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国家、自治区产业知识产权运营中心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项目；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91919"/>
                <w:spacing w:val="0"/>
                <w:sz w:val="24"/>
                <w:szCs w:val="24"/>
                <w:shd w:val="clear" w:fill="FFFFFF"/>
              </w:rPr>
              <w:t>支持专业机构对高新技术、专精特新、知识产权优势示范企业开展服务，支持一批科技型企业大幅提升专利产业化水平。</w:t>
            </w:r>
          </w:p>
        </w:tc>
        <w:tc>
          <w:tcPr>
            <w:tcW w:w="2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市场监管局、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科技局、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工信局</w:t>
            </w:r>
          </w:p>
        </w:tc>
        <w:tc>
          <w:tcPr>
            <w:tcW w:w="17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  <w:jc w:val="center"/>
        </w:trPr>
        <w:tc>
          <w:tcPr>
            <w:tcW w:w="908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560" w:lineRule="exact"/>
              <w:ind w:left="0" w:leftChars="0" w:firstLine="19" w:firstLineChars="8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8</w:t>
            </w:r>
          </w:p>
        </w:tc>
        <w:tc>
          <w:tcPr>
            <w:tcW w:w="7086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1" w:line="240" w:lineRule="auto"/>
              <w:ind w:left="0" w:leftChars="0" w:right="0" w:rightChars="0" w:firstLine="480" w:firstLineChars="200"/>
              <w:jc w:val="left"/>
              <w:textAlignment w:val="baseline"/>
              <w:outlineLvl w:val="9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积极培育专利密集型产业，探索创建专利密集型产业园区，依托国家专利密集型产品备案认定平台，推动开展专利产品备案工作，探索分产业领域集中认定一批经济效益高、专利价值贡献突出的专利密集型产品。</w:t>
            </w:r>
          </w:p>
        </w:tc>
        <w:tc>
          <w:tcPr>
            <w:tcW w:w="2607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240" w:lineRule="auto"/>
              <w:ind w:left="0" w:right="0"/>
              <w:jc w:val="center"/>
              <w:textAlignment w:val="baseline"/>
              <w:outlineLvl w:val="9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市场监管局、工信局、 科技局</w:t>
            </w:r>
          </w:p>
        </w:tc>
        <w:tc>
          <w:tcPr>
            <w:tcW w:w="177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76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86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1" w:hRule="atLeast"/>
          <w:jc w:val="center"/>
        </w:trPr>
        <w:tc>
          <w:tcPr>
            <w:tcW w:w="908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560" w:lineRule="exact"/>
              <w:ind w:left="0" w:leftChars="0" w:firstLine="19" w:firstLineChars="8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9</w:t>
            </w:r>
          </w:p>
        </w:tc>
        <w:tc>
          <w:tcPr>
            <w:tcW w:w="708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1" w:line="240" w:lineRule="auto"/>
              <w:ind w:left="0" w:right="0" w:firstLine="480" w:firstLineChars="200"/>
              <w:jc w:val="left"/>
              <w:textAlignment w:val="baseline"/>
              <w:outlineLvl w:val="9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探索建立专利密集型产业增加值核算与发布机制，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加强专利密集型产业培育监测评价，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不断提高专利密集型产业增加值占GDP 的比重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607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240" w:lineRule="auto"/>
              <w:ind w:left="0" w:right="0"/>
              <w:jc w:val="center"/>
              <w:textAlignment w:val="baseline"/>
              <w:outlineLvl w:val="9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市场监管局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统计局</w:t>
            </w:r>
          </w:p>
        </w:tc>
        <w:tc>
          <w:tcPr>
            <w:tcW w:w="17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</w:p>
        </w:tc>
        <w:tc>
          <w:tcPr>
            <w:tcW w:w="176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</w:p>
        </w:tc>
        <w:tc>
          <w:tcPr>
            <w:tcW w:w="86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908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560" w:lineRule="exact"/>
              <w:ind w:left="0" w:leftChars="0" w:firstLine="19" w:firstLineChars="8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10</w:t>
            </w:r>
          </w:p>
        </w:tc>
        <w:tc>
          <w:tcPr>
            <w:tcW w:w="708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240" w:lineRule="auto"/>
              <w:ind w:left="0" w:right="0" w:firstLine="480" w:firstLineChars="200"/>
              <w:jc w:val="left"/>
              <w:textAlignment w:val="baseline"/>
              <w:outlineLvl w:val="9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鼓励支持在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呼和浩特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科技成果转化成效突出的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市属及驻呼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高校，围绕专利成果产权制度改革、运营管理、专利成果转化合规保障等方面开展专利转化创新试点工作，推动高校建立专业高效的专利成果运营机制、专利成果转化人员激励制度、科研人员创业企业发展通道、科技成果转化尽职免责等制度，探索专利成果转化新模式。</w:t>
            </w:r>
          </w:p>
        </w:tc>
        <w:tc>
          <w:tcPr>
            <w:tcW w:w="2607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240" w:lineRule="auto"/>
              <w:ind w:left="0" w:right="0"/>
              <w:jc w:val="center"/>
              <w:textAlignment w:val="baseline"/>
              <w:outlineLvl w:val="9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呼和浩特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职业学院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市场监管局、科技局</w:t>
            </w:r>
          </w:p>
        </w:tc>
        <w:tc>
          <w:tcPr>
            <w:tcW w:w="17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</w:p>
        </w:tc>
        <w:tc>
          <w:tcPr>
            <w:tcW w:w="176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</w:p>
        </w:tc>
        <w:tc>
          <w:tcPr>
            <w:tcW w:w="86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6" w:hRule="atLeast"/>
          <w:jc w:val="center"/>
        </w:trPr>
        <w:tc>
          <w:tcPr>
            <w:tcW w:w="908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560" w:lineRule="exact"/>
              <w:ind w:left="0" w:leftChars="0" w:firstLine="19" w:firstLineChars="8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11</w:t>
            </w:r>
          </w:p>
        </w:tc>
        <w:tc>
          <w:tcPr>
            <w:tcW w:w="708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0" w:line="240" w:lineRule="auto"/>
              <w:ind w:left="0" w:right="0" w:firstLine="480" w:firstLineChars="200"/>
              <w:jc w:val="left"/>
              <w:textAlignment w:val="baseline"/>
              <w:outlineLvl w:val="9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加强产学研合作协议知识产权条款审查，合理约定权利归属与收益分配。鼓励支持高校、科研机构通过多种途径筹资设立知识产权管理资金和运营基金。</w:t>
            </w:r>
          </w:p>
        </w:tc>
        <w:tc>
          <w:tcPr>
            <w:tcW w:w="2607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240" w:lineRule="auto"/>
              <w:ind w:left="0" w:right="0"/>
              <w:jc w:val="center"/>
              <w:textAlignment w:val="baseline"/>
              <w:outlineLvl w:val="9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呼和浩特市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职业学院，市场监管局、财政局</w:t>
            </w:r>
          </w:p>
        </w:tc>
        <w:tc>
          <w:tcPr>
            <w:tcW w:w="17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</w:p>
        </w:tc>
        <w:tc>
          <w:tcPr>
            <w:tcW w:w="176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</w:p>
        </w:tc>
        <w:tc>
          <w:tcPr>
            <w:tcW w:w="86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8" w:hRule="atLeast"/>
          <w:jc w:val="center"/>
        </w:trPr>
        <w:tc>
          <w:tcPr>
            <w:tcW w:w="908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560" w:lineRule="exact"/>
              <w:ind w:left="0" w:leftChars="0" w:firstLine="19" w:firstLineChars="8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12</w:t>
            </w:r>
          </w:p>
        </w:tc>
        <w:tc>
          <w:tcPr>
            <w:tcW w:w="7086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240" w:lineRule="auto"/>
              <w:ind w:left="0" w:leftChars="0" w:right="0" w:rightChars="0" w:firstLine="480" w:firstLineChars="200"/>
              <w:jc w:val="left"/>
              <w:textAlignment w:val="baseline"/>
              <w:outlineLvl w:val="9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在各类涉及专利指标项目评审、机构评估、企业认定、人才评价、职称评定等工作中，将专利转化效益作为重要参考。在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推荐申报内蒙古自治区科学进步奖、专利奖中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注重专利技术先进性、专利运用实际效益及对经济社会发展突出贡献等指标的设定。</w:t>
            </w:r>
          </w:p>
        </w:tc>
        <w:tc>
          <w:tcPr>
            <w:tcW w:w="2607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4" w:line="240" w:lineRule="auto"/>
              <w:ind w:left="0" w:right="0"/>
              <w:jc w:val="center"/>
              <w:textAlignment w:val="baseline"/>
              <w:outlineLvl w:val="9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市场监管局、人社局，科技局、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呼和浩特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职业学院</w:t>
            </w:r>
          </w:p>
        </w:tc>
        <w:tc>
          <w:tcPr>
            <w:tcW w:w="177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76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86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6" w:hRule="atLeast"/>
          <w:jc w:val="center"/>
        </w:trPr>
        <w:tc>
          <w:tcPr>
            <w:tcW w:w="908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560" w:lineRule="exact"/>
              <w:ind w:left="0" w:leftChars="0" w:firstLine="19" w:firstLineChars="8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13</w:t>
            </w:r>
          </w:p>
        </w:tc>
        <w:tc>
          <w:tcPr>
            <w:tcW w:w="7086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7" w:line="240" w:lineRule="auto"/>
              <w:ind w:left="0" w:right="0" w:rightChars="0" w:firstLine="480" w:firstLineChars="200"/>
              <w:jc w:val="left"/>
              <w:textAlignment w:val="baseline"/>
              <w:outlineLvl w:val="9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探索建立财政资助科研项目形成专利的声明制度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加强跟踪监测和评价反馈，对于授权超 过5年没有实施且无正当理由的专利，国家可以无偿实施，也可以许可他人有偿实施或无偿实施，促进财政资助科研项目的高价值专利产出和实施。</w:t>
            </w:r>
          </w:p>
        </w:tc>
        <w:tc>
          <w:tcPr>
            <w:tcW w:w="2607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240" w:lineRule="auto"/>
              <w:ind w:left="0" w:right="0"/>
              <w:jc w:val="center"/>
              <w:textAlignment w:val="baseline"/>
              <w:outlineLvl w:val="9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市场监管局、财政局、科技局</w:t>
            </w:r>
          </w:p>
        </w:tc>
        <w:tc>
          <w:tcPr>
            <w:tcW w:w="17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</w:p>
        </w:tc>
        <w:tc>
          <w:tcPr>
            <w:tcW w:w="176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</w:p>
        </w:tc>
        <w:tc>
          <w:tcPr>
            <w:tcW w:w="86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2" w:hRule="atLeast"/>
          <w:jc w:val="center"/>
        </w:trPr>
        <w:tc>
          <w:tcPr>
            <w:tcW w:w="908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560" w:lineRule="exact"/>
              <w:ind w:left="0" w:leftChars="0" w:firstLine="19" w:firstLineChars="8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14</w:t>
            </w:r>
          </w:p>
        </w:tc>
        <w:tc>
          <w:tcPr>
            <w:tcW w:w="7086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1" w:line="240" w:lineRule="auto"/>
              <w:ind w:left="0" w:leftChars="0" w:right="0" w:rightChars="0" w:firstLine="480" w:firstLineChars="200"/>
              <w:jc w:val="left"/>
              <w:textAlignment w:val="baseline"/>
              <w:outlineLvl w:val="9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完善专利权转让登记机制，实现与科技数据互联互通。鼓励支持建立知识产权交易相关基础数据统计发布机制，通过专利权转让登记机制为技术成果登记转让提供法律保障，确保技术成果在转让过程中的合法权益得到保护。</w:t>
            </w:r>
          </w:p>
        </w:tc>
        <w:tc>
          <w:tcPr>
            <w:tcW w:w="2607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240" w:lineRule="auto"/>
              <w:ind w:left="0" w:right="0"/>
              <w:jc w:val="center"/>
              <w:textAlignment w:val="baseline"/>
              <w:outlineLvl w:val="9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市场监管局、科技局</w:t>
            </w:r>
          </w:p>
        </w:tc>
        <w:tc>
          <w:tcPr>
            <w:tcW w:w="17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</w:p>
        </w:tc>
        <w:tc>
          <w:tcPr>
            <w:tcW w:w="176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</w:p>
        </w:tc>
        <w:tc>
          <w:tcPr>
            <w:tcW w:w="86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7" w:hRule="atLeast"/>
          <w:jc w:val="center"/>
        </w:trPr>
        <w:tc>
          <w:tcPr>
            <w:tcW w:w="908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560" w:lineRule="exact"/>
              <w:ind w:left="0" w:leftChars="0" w:firstLine="19" w:firstLineChars="8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15</w:t>
            </w:r>
          </w:p>
        </w:tc>
        <w:tc>
          <w:tcPr>
            <w:tcW w:w="7086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7" w:line="240" w:lineRule="auto"/>
              <w:ind w:left="0" w:leftChars="0" w:right="0" w:rightChars="0" w:firstLine="480" w:firstLineChars="200"/>
              <w:jc w:val="left"/>
              <w:textAlignment w:val="baseline"/>
              <w:outlineLvl w:val="9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依托自治区“蒙科聚”创新驱动平台、成果登记共享平台和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呼和浩特市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知识产权公共服务平台等，形成专利权转让登记和技术成果登记数据共享，实现专利实施、转让、许可、质押、进出口等各类数据集成和监测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机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制。</w:t>
            </w:r>
          </w:p>
        </w:tc>
        <w:tc>
          <w:tcPr>
            <w:tcW w:w="2607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240" w:lineRule="auto"/>
              <w:ind w:left="0" w:right="0"/>
              <w:jc w:val="center"/>
              <w:textAlignment w:val="baseline"/>
              <w:outlineLvl w:val="9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市场监管局、科技局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outlineLvl w:val="9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240" w:lineRule="auto"/>
              <w:ind w:left="0" w:right="0" w:rightChars="0"/>
              <w:jc w:val="center"/>
              <w:textAlignment w:val="baseline"/>
              <w:outlineLvl w:val="9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7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</w:p>
        </w:tc>
        <w:tc>
          <w:tcPr>
            <w:tcW w:w="176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</w:p>
        </w:tc>
        <w:tc>
          <w:tcPr>
            <w:tcW w:w="86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  <w:jc w:val="center"/>
        </w:trPr>
        <w:tc>
          <w:tcPr>
            <w:tcW w:w="908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560" w:lineRule="exact"/>
              <w:ind w:left="0" w:leftChars="0" w:firstLine="19" w:firstLineChars="8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16</w:t>
            </w:r>
          </w:p>
        </w:tc>
        <w:tc>
          <w:tcPr>
            <w:tcW w:w="708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3" w:line="240" w:lineRule="auto"/>
              <w:ind w:left="0" w:right="0" w:rightChars="0" w:firstLine="480" w:firstLineChars="200"/>
              <w:jc w:val="left"/>
              <w:textAlignment w:val="baseline"/>
              <w:outlineLvl w:val="9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探索推进知识产权公共服务体系化、市场化协同发展，引进优质知识产权运营服务机构，动员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市属及驻呼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高校、科研机构和行业组织等社会力量参与公共服务，形成知识产权公共服务叠加效应。</w:t>
            </w:r>
          </w:p>
        </w:tc>
        <w:tc>
          <w:tcPr>
            <w:tcW w:w="260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outlineLvl w:val="9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市场监管局，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呼和浩特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职业学院</w:t>
            </w:r>
          </w:p>
        </w:tc>
        <w:tc>
          <w:tcPr>
            <w:tcW w:w="1778" w:type="dxa"/>
            <w:tcBorders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</w:p>
        </w:tc>
        <w:tc>
          <w:tcPr>
            <w:tcW w:w="1763" w:type="dxa"/>
            <w:tcBorders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</w:p>
        </w:tc>
        <w:tc>
          <w:tcPr>
            <w:tcW w:w="865" w:type="dxa"/>
            <w:tcBorders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5" w:hRule="atLeast"/>
          <w:jc w:val="center"/>
        </w:trPr>
        <w:tc>
          <w:tcPr>
            <w:tcW w:w="908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560" w:lineRule="exact"/>
              <w:ind w:left="0" w:leftChars="0" w:firstLine="19" w:firstLineChars="8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17</w:t>
            </w:r>
          </w:p>
        </w:tc>
        <w:tc>
          <w:tcPr>
            <w:tcW w:w="7086" w:type="dxa"/>
            <w:tcBorders>
              <w:top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3" w:line="240" w:lineRule="auto"/>
              <w:ind w:left="0" w:right="0" w:firstLine="480" w:firstLineChars="200"/>
              <w:jc w:val="left"/>
              <w:textAlignment w:val="baseline"/>
              <w:outlineLvl w:val="9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打造“一站式”知识产权公共服务窗口。整合现有知识产权公共服务资源，对接国家、自治区数据资源，优化服务事项，构建集信息查询、 维权援助、专利转化、托管服务等服务于一体  的公共服务体系。</w:t>
            </w:r>
          </w:p>
        </w:tc>
        <w:tc>
          <w:tcPr>
            <w:tcW w:w="2607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outlineLvl w:val="9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市场监管局</w:t>
            </w:r>
          </w:p>
        </w:tc>
        <w:tc>
          <w:tcPr>
            <w:tcW w:w="1778" w:type="dxa"/>
            <w:tcBorders>
              <w:top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1" w:hRule="atLeast"/>
          <w:jc w:val="center"/>
        </w:trPr>
        <w:tc>
          <w:tcPr>
            <w:tcW w:w="908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560" w:lineRule="exact"/>
              <w:ind w:left="0" w:leftChars="0" w:firstLine="19" w:firstLineChars="8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18</w:t>
            </w:r>
          </w:p>
        </w:tc>
        <w:tc>
          <w:tcPr>
            <w:tcW w:w="7086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4" w:line="240" w:lineRule="auto"/>
              <w:ind w:left="0" w:right="0" w:firstLine="480" w:firstLineChars="200"/>
              <w:jc w:val="left"/>
              <w:textAlignment w:val="baseline"/>
              <w:outlineLvl w:val="9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依托自治区专利转化运用智库，面向创新主体开展创造、运用、转化等全链条服务，探索建设知识产权服务业集聚区，面向国家、自治区科技重大项目、区域重大战略和重点产业领域，深入开展专利转化运用服务精准对接活动。推广应用全区高校和科研机构转化运用工作指南，为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呼和浩特市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专利转化运用工作提供智力支撑。</w:t>
            </w:r>
          </w:p>
        </w:tc>
        <w:tc>
          <w:tcPr>
            <w:tcW w:w="2607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240" w:lineRule="auto"/>
              <w:ind w:left="0" w:right="0" w:rightChars="0"/>
              <w:jc w:val="center"/>
              <w:textAlignment w:val="baseline"/>
              <w:outlineLvl w:val="9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市场监管局、科技局</w:t>
            </w:r>
          </w:p>
        </w:tc>
        <w:tc>
          <w:tcPr>
            <w:tcW w:w="17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</w:p>
        </w:tc>
        <w:tc>
          <w:tcPr>
            <w:tcW w:w="176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</w:p>
        </w:tc>
        <w:tc>
          <w:tcPr>
            <w:tcW w:w="86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9" w:hRule="atLeast"/>
          <w:jc w:val="center"/>
        </w:trPr>
        <w:tc>
          <w:tcPr>
            <w:tcW w:w="908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560" w:lineRule="exact"/>
              <w:ind w:left="0" w:leftChars="0" w:firstLine="19" w:firstLineChars="8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19</w:t>
            </w:r>
          </w:p>
        </w:tc>
        <w:tc>
          <w:tcPr>
            <w:tcW w:w="7086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240" w:lineRule="auto"/>
              <w:ind w:left="0" w:leftChars="0" w:right="0" w:firstLine="480" w:firstLineChars="200"/>
              <w:jc w:val="left"/>
              <w:textAlignment w:val="baseline"/>
              <w:outlineLvl w:val="9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围绕专利量质齐升目标，开展重点产业关键核心技术攻关，培育形成高价值专利。探索在低碳能源、前沿材料、生物育种等重点领域开展专利导航和预警分析，依托高校重点学科与企业的有机结合，实现产业链龙头企业、重点企业高价值专利研发储备，加快培育一批原创性、基础性高价值专利或专利组合，力争在高价值专利培育中心建设上取得突破，探索开展知识产权海外布局。</w:t>
            </w:r>
          </w:p>
        </w:tc>
        <w:tc>
          <w:tcPr>
            <w:tcW w:w="2607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240" w:lineRule="auto"/>
              <w:ind w:left="0" w:right="0"/>
              <w:jc w:val="center"/>
              <w:textAlignment w:val="baseline"/>
              <w:outlineLvl w:val="9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市场监管局</w:t>
            </w:r>
          </w:p>
        </w:tc>
        <w:tc>
          <w:tcPr>
            <w:tcW w:w="17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</w:p>
        </w:tc>
        <w:tc>
          <w:tcPr>
            <w:tcW w:w="176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</w:p>
        </w:tc>
        <w:tc>
          <w:tcPr>
            <w:tcW w:w="86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  <w:jc w:val="center"/>
        </w:trPr>
        <w:tc>
          <w:tcPr>
            <w:tcW w:w="908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560" w:lineRule="exact"/>
              <w:ind w:left="0" w:leftChars="0" w:firstLine="19" w:firstLineChars="8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20</w:t>
            </w:r>
          </w:p>
        </w:tc>
        <w:tc>
          <w:tcPr>
            <w:tcW w:w="7086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9" w:line="240" w:lineRule="auto"/>
              <w:ind w:left="0" w:leftChars="0" w:right="0" w:rightChars="0" w:firstLine="480" w:firstLineChars="200"/>
              <w:jc w:val="left"/>
              <w:textAlignment w:val="baseline"/>
              <w:outlineLvl w:val="9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深化政银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企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合作，充分发挥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自治区创建的金融服务创新发展联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盟知识产权质押融资服务团队作用，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91919"/>
                <w:spacing w:val="0"/>
                <w:sz w:val="24"/>
                <w:szCs w:val="24"/>
                <w:shd w:val="clear" w:fill="FFFFFF"/>
              </w:rPr>
              <w:t>鼓励社会资本设立专业化知识产权运营机构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91919"/>
                <w:spacing w:val="0"/>
                <w:sz w:val="24"/>
                <w:szCs w:val="24"/>
                <w:shd w:val="clear" w:fill="FFFFFF"/>
                <w:lang w:eastAsia="zh-CN"/>
              </w:rPr>
              <w:t>。</w:t>
            </w:r>
          </w:p>
        </w:tc>
        <w:tc>
          <w:tcPr>
            <w:tcW w:w="2607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240" w:lineRule="auto"/>
              <w:ind w:left="0" w:right="0" w:rightChars="0"/>
              <w:jc w:val="center"/>
              <w:textAlignment w:val="baseline"/>
              <w:outlineLvl w:val="9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市场监管局、财政局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国家金融管总局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内蒙古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监管局</w:t>
            </w:r>
          </w:p>
        </w:tc>
        <w:tc>
          <w:tcPr>
            <w:tcW w:w="17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</w:p>
        </w:tc>
        <w:tc>
          <w:tcPr>
            <w:tcW w:w="176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</w:p>
        </w:tc>
        <w:tc>
          <w:tcPr>
            <w:tcW w:w="86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0" w:hRule="atLeast"/>
          <w:jc w:val="center"/>
        </w:trPr>
        <w:tc>
          <w:tcPr>
            <w:tcW w:w="908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560" w:lineRule="exact"/>
              <w:ind w:left="0" w:leftChars="0" w:firstLine="19" w:firstLineChars="8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708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9" w:line="240" w:lineRule="auto"/>
              <w:ind w:left="0" w:right="0" w:firstLine="480" w:firstLineChars="200"/>
              <w:jc w:val="left"/>
              <w:textAlignment w:val="baseline"/>
              <w:outlineLvl w:val="9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利用自治区搭建的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知识产权质押融资评估评价体系，探索金融服务产品与产学研相结合的知识产权质押融资模式，鼓励银行对专利权等无形资产研发提供贷款，扩大内部评估试点。</w:t>
            </w:r>
          </w:p>
        </w:tc>
        <w:tc>
          <w:tcPr>
            <w:tcW w:w="2607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240" w:lineRule="auto"/>
              <w:ind w:left="0" w:right="0"/>
              <w:jc w:val="center"/>
              <w:textAlignment w:val="baseline"/>
              <w:outlineLvl w:val="9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国家金融管总局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内蒙古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监管局，市场监管局、财政局</w:t>
            </w:r>
          </w:p>
        </w:tc>
        <w:tc>
          <w:tcPr>
            <w:tcW w:w="17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</w:p>
        </w:tc>
        <w:tc>
          <w:tcPr>
            <w:tcW w:w="176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</w:p>
        </w:tc>
        <w:tc>
          <w:tcPr>
            <w:tcW w:w="86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5" w:hRule="atLeast"/>
          <w:jc w:val="center"/>
        </w:trPr>
        <w:tc>
          <w:tcPr>
            <w:tcW w:w="908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560" w:lineRule="exact"/>
              <w:ind w:left="0" w:leftChars="0" w:firstLine="19" w:firstLineChars="8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708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9" w:line="240" w:lineRule="auto"/>
              <w:ind w:left="0" w:right="0" w:firstLine="480" w:firstLineChars="200"/>
              <w:jc w:val="left"/>
              <w:textAlignment w:val="baseline"/>
              <w:outlineLvl w:val="9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紧扣一体化和高质量发展要求，加强与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市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内外 先进地区知识产权交流合作，促进区域协同发展。探索同俄 罗斯、蒙古国等共建“一带一路”知识产权交流合作，积极 参与自治区承办的知识产权助力“一带一路”沿线国家和地 区创新发展研讨交流活动，不断扩大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全市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企业及品牌的影响力。鼓励支持知识产权运营机构开展国际专利运营，帮助企业排查专利风险。探索与国际知识产权组织、研究机构和著名大学的交流合作，提升知识产权国际规则运用能力。</w:t>
            </w:r>
          </w:p>
        </w:tc>
        <w:tc>
          <w:tcPr>
            <w:tcW w:w="2607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240" w:lineRule="auto"/>
              <w:ind w:left="0" w:right="0"/>
              <w:jc w:val="center"/>
              <w:textAlignment w:val="baseline"/>
              <w:outlineLvl w:val="9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市场监管局、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0"/>
                <w:sz w:val="24"/>
                <w:szCs w:val="24"/>
              </w:rPr>
              <w:t>商务局、科技局</w:t>
            </w:r>
          </w:p>
        </w:tc>
        <w:tc>
          <w:tcPr>
            <w:tcW w:w="17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</w:p>
        </w:tc>
        <w:tc>
          <w:tcPr>
            <w:tcW w:w="176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</w:p>
        </w:tc>
        <w:tc>
          <w:tcPr>
            <w:tcW w:w="86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</w:p>
        </w:tc>
      </w:tr>
    </w:tbl>
    <w:p>
      <w:pPr>
        <w:rPr>
          <w:sz w:val="28"/>
          <w:szCs w:val="28"/>
        </w:rPr>
      </w:pPr>
    </w:p>
    <w:sectPr>
      <w:footerReference r:id="rId5" w:type="default"/>
      <w:pgSz w:w="16900" w:h="11923" w:orient="landscape"/>
      <w:pgMar w:top="1417" w:right="1134" w:bottom="1134" w:left="1134" w:header="0" w:footer="822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zY2E1ODNkY2RjZDliYjViYWUyNTNiZWMyNjQwZWEifQ=="/>
  </w:docVars>
  <w:rsids>
    <w:rsidRoot w:val="363D370C"/>
    <w:rsid w:val="092D5424"/>
    <w:rsid w:val="3009685E"/>
    <w:rsid w:val="363D370C"/>
    <w:rsid w:val="4F0515F3"/>
    <w:rsid w:val="5AC8246D"/>
    <w:rsid w:val="7705363F"/>
    <w:rsid w:val="776F5660"/>
    <w:rsid w:val="7BF6C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2703</Words>
  <Characters>2721</Characters>
  <Lines>0</Lines>
  <Paragraphs>0</Paragraphs>
  <TotalTime>16</TotalTime>
  <ScaleCrop>false</ScaleCrop>
  <LinksUpToDate>false</LinksUpToDate>
  <CharactersWithSpaces>2735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2024-10-10T17:59:00Z</dcterms:created>
  <dc:creator>李晶晶</dc:creator>
  <cp:lastModifiedBy>薛鑫</cp:lastModifiedBy>
  <cp:lastPrinted>2024-11-11T09:46:00Z</cp:lastPrinted>
  <dcterms:modified xsi:type="dcterms:W3CDTF">2024-11-20T14:56:43Z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579561C131BD4D799B4F60576EB1F045_11</vt:lpwstr>
  </property>
</Properties>
</file>