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38A9" w:rsidRDefault="00E554AE">
      <w:pPr>
        <w:pStyle w:val="a7"/>
        <w:jc w:val="left"/>
        <w:rPr>
          <w:rFonts w:ascii="CESI黑体-GB2312" w:eastAsia="CESI黑体-GB2312" w:hAnsi="CESI黑体-GB2312" w:cs="CESI黑体-GB2312"/>
          <w:b w:val="0"/>
          <w:bCs w:val="0"/>
        </w:rPr>
      </w:pPr>
      <w:bookmarkStart w:id="0" w:name="_Toc23355476"/>
      <w:bookmarkStart w:id="1" w:name="_Toc27136022"/>
      <w:bookmarkStart w:id="2" w:name="_Toc45559299"/>
      <w:bookmarkStart w:id="3" w:name="_Toc47597707"/>
      <w:r>
        <w:rPr>
          <w:rFonts w:ascii="CESI黑体-GB2312" w:eastAsia="CESI黑体-GB2312" w:hAnsi="CESI黑体-GB2312" w:cs="CESI黑体-GB2312" w:hint="eastAsia"/>
          <w:b w:val="0"/>
          <w:bCs w:val="0"/>
        </w:rPr>
        <w:t xml:space="preserve">附件4 </w:t>
      </w:r>
    </w:p>
    <w:p w:rsidR="001838A9" w:rsidRDefault="00E554AE">
      <w:pPr>
        <w:pStyle w:val="a7"/>
        <w:spacing w:line="600" w:lineRule="exact"/>
        <w:rPr>
          <w:rFonts w:ascii="CESI小标宋-GB2312" w:eastAsia="CESI小标宋-GB2312" w:hAnsi="CESI小标宋-GB2312" w:cs="CESI小标宋-GB2312"/>
          <w:b w:val="0"/>
          <w:bCs w:val="0"/>
          <w:sz w:val="44"/>
          <w:szCs w:val="44"/>
        </w:rPr>
      </w:pPr>
      <w:r>
        <w:rPr>
          <w:rFonts w:ascii="CESI小标宋-GB2312" w:eastAsia="CESI小标宋-GB2312" w:hAnsi="CESI小标宋-GB2312" w:cs="CESI小标宋-GB2312" w:hint="eastAsia"/>
          <w:b w:val="0"/>
          <w:bCs w:val="0"/>
          <w:sz w:val="44"/>
          <w:szCs w:val="44"/>
        </w:rPr>
        <w:t>呼和浩特市建设用地海绵城市建设规划</w:t>
      </w:r>
    </w:p>
    <w:p w:rsidR="001838A9" w:rsidRDefault="00E554AE">
      <w:pPr>
        <w:pStyle w:val="a7"/>
        <w:spacing w:line="600" w:lineRule="exact"/>
        <w:rPr>
          <w:rFonts w:ascii="CESI小标宋-GB2312" w:eastAsia="CESI小标宋-GB2312" w:hAnsi="CESI小标宋-GB2312" w:cs="CESI小标宋-GB2312"/>
          <w:b w:val="0"/>
          <w:bCs w:val="0"/>
          <w:sz w:val="44"/>
          <w:szCs w:val="44"/>
        </w:rPr>
      </w:pPr>
      <w:r>
        <w:rPr>
          <w:rFonts w:ascii="CESI小标宋-GB2312" w:eastAsia="CESI小标宋-GB2312" w:hAnsi="CESI小标宋-GB2312" w:cs="CESI小标宋-GB2312" w:hint="eastAsia"/>
          <w:b w:val="0"/>
          <w:bCs w:val="0"/>
          <w:sz w:val="44"/>
          <w:szCs w:val="44"/>
        </w:rPr>
        <w:t>设计指标</w:t>
      </w:r>
    </w:p>
    <w:p w:rsidR="001838A9" w:rsidRDefault="00E554AE">
      <w:pPr>
        <w:spacing w:line="360" w:lineRule="auto"/>
        <w:ind w:firstLineChars="200" w:firstLine="640"/>
        <w:rPr>
          <w:rFonts w:ascii="CESI黑体-GB2312" w:eastAsia="CESI黑体-GB2312" w:hAnsi="CESI黑体-GB2312" w:cs="CESI黑体-GB2312"/>
          <w:sz w:val="32"/>
          <w:szCs w:val="32"/>
        </w:rPr>
      </w:pPr>
      <w:r>
        <w:rPr>
          <w:rFonts w:ascii="CESI黑体-GB2312" w:eastAsia="CESI黑体-GB2312" w:hAnsi="CESI黑体-GB2312" w:cs="CESI黑体-GB2312" w:hint="eastAsia"/>
          <w:sz w:val="32"/>
          <w:szCs w:val="32"/>
        </w:rPr>
        <w:t>一、</w:t>
      </w:r>
      <w:bookmarkStart w:id="4" w:name="_Hlk173767263"/>
      <w:r>
        <w:rPr>
          <w:rFonts w:ascii="CESI黑体-GB2312" w:eastAsia="CESI黑体-GB2312" w:hAnsi="CESI黑体-GB2312" w:cs="CESI黑体-GB2312" w:hint="eastAsia"/>
          <w:sz w:val="32"/>
          <w:szCs w:val="32"/>
        </w:rPr>
        <w:t>各类用地海绵城市建设管控指标</w:t>
      </w:r>
      <w:bookmarkEnd w:id="4"/>
      <w:r>
        <w:rPr>
          <w:rFonts w:ascii="CESI黑体-GB2312" w:eastAsia="CESI黑体-GB2312" w:hAnsi="CESI黑体-GB2312" w:cs="CESI黑体-GB2312" w:hint="eastAsia"/>
          <w:sz w:val="32"/>
          <w:szCs w:val="32"/>
        </w:rPr>
        <w:t>表</w:t>
      </w:r>
    </w:p>
    <w:p w:rsidR="001838A9" w:rsidRDefault="00E554AE">
      <w:pPr>
        <w:spacing w:line="360" w:lineRule="auto"/>
        <w:jc w:val="center"/>
        <w:rPr>
          <w:rFonts w:ascii="Times New Roman" w:eastAsia="仿宋_GB2312" w:hAnsi="Times New Roman"/>
          <w:b/>
          <w:bCs/>
          <w:sz w:val="24"/>
          <w:szCs w:val="24"/>
        </w:rPr>
      </w:pPr>
      <w:r>
        <w:rPr>
          <w:rFonts w:ascii="Times New Roman" w:eastAsia="仿宋_GB2312" w:hAnsi="Times New Roman"/>
          <w:b/>
          <w:bCs/>
          <w:sz w:val="24"/>
          <w:szCs w:val="24"/>
        </w:rPr>
        <w:t>表</w:t>
      </w:r>
      <w:r>
        <w:rPr>
          <w:rFonts w:ascii="仿宋_GB2312" w:eastAsia="仿宋_GB2312" w:hAnsi="仿宋_GB2312" w:cs="仿宋_GB2312" w:hint="eastAsia"/>
          <w:b/>
          <w:bCs/>
          <w:sz w:val="24"/>
          <w:szCs w:val="24"/>
        </w:rPr>
        <w:t>1</w:t>
      </w:r>
      <w:r>
        <w:rPr>
          <w:rFonts w:ascii="Times New Roman" w:eastAsia="仿宋_GB2312" w:hAnsi="Times New Roman"/>
          <w:b/>
          <w:bCs/>
          <w:sz w:val="24"/>
          <w:szCs w:val="24"/>
        </w:rPr>
        <w:t xml:space="preserve"> </w:t>
      </w:r>
      <w:r>
        <w:rPr>
          <w:rFonts w:ascii="Times New Roman" w:eastAsia="仿宋_GB2312" w:hAnsi="Times New Roman" w:hint="eastAsia"/>
          <w:b/>
          <w:bCs/>
          <w:sz w:val="24"/>
          <w:szCs w:val="24"/>
        </w:rPr>
        <w:t xml:space="preserve"> </w:t>
      </w:r>
      <w:r>
        <w:rPr>
          <w:rFonts w:ascii="Times New Roman" w:eastAsia="仿宋_GB2312" w:hAnsi="Times New Roman" w:hint="eastAsia"/>
          <w:b/>
          <w:bCs/>
          <w:sz w:val="24"/>
          <w:szCs w:val="24"/>
        </w:rPr>
        <w:t>各类用地海绵城市建设管控指标（推荐基准值）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4"/>
        <w:gridCol w:w="1634"/>
        <w:gridCol w:w="990"/>
        <w:gridCol w:w="1507"/>
        <w:gridCol w:w="1590"/>
        <w:gridCol w:w="1561"/>
      </w:tblGrid>
      <w:tr w:rsidR="001838A9">
        <w:trPr>
          <w:trHeight w:val="300"/>
          <w:jc w:val="center"/>
        </w:trPr>
        <w:tc>
          <w:tcPr>
            <w:tcW w:w="3638" w:type="dxa"/>
            <w:gridSpan w:val="3"/>
            <w:vAlign w:val="center"/>
          </w:tcPr>
          <w:p w:rsidR="001838A9" w:rsidRDefault="00E554AE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b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b/>
                <w:sz w:val="24"/>
                <w:szCs w:val="24"/>
              </w:rPr>
              <w:t>用地</w:t>
            </w:r>
            <w:r>
              <w:rPr>
                <w:rFonts w:ascii="Times New Roman" w:eastAsia="仿宋_GB2312" w:hAnsi="Times New Roman"/>
                <w:b/>
                <w:sz w:val="24"/>
                <w:szCs w:val="24"/>
              </w:rPr>
              <w:t>类型</w:t>
            </w:r>
          </w:p>
        </w:tc>
        <w:tc>
          <w:tcPr>
            <w:tcW w:w="1507" w:type="dxa"/>
            <w:vAlign w:val="center"/>
          </w:tcPr>
          <w:p w:rsidR="001838A9" w:rsidRDefault="00E554AE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b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b/>
                <w:sz w:val="24"/>
                <w:szCs w:val="24"/>
              </w:rPr>
              <w:t>年径流总量控制率</w:t>
            </w:r>
          </w:p>
        </w:tc>
        <w:tc>
          <w:tcPr>
            <w:tcW w:w="1590" w:type="dxa"/>
            <w:vAlign w:val="center"/>
          </w:tcPr>
          <w:p w:rsidR="001838A9" w:rsidRDefault="00E554AE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b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b/>
                <w:sz w:val="24"/>
                <w:szCs w:val="24"/>
              </w:rPr>
              <w:t>年径流污染（</w:t>
            </w:r>
            <w:r>
              <w:rPr>
                <w:rFonts w:ascii="Times New Roman" w:eastAsia="仿宋_GB2312" w:hAnsi="Times New Roman" w:hint="eastAsia"/>
                <w:b/>
                <w:sz w:val="24"/>
                <w:szCs w:val="24"/>
              </w:rPr>
              <w:t xml:space="preserve">SS </w:t>
            </w:r>
            <w:r>
              <w:rPr>
                <w:rFonts w:ascii="Times New Roman" w:eastAsia="仿宋_GB2312" w:hAnsi="Times New Roman" w:hint="eastAsia"/>
                <w:b/>
                <w:sz w:val="24"/>
                <w:szCs w:val="24"/>
              </w:rPr>
              <w:t>）削减率</w:t>
            </w:r>
          </w:p>
        </w:tc>
        <w:tc>
          <w:tcPr>
            <w:tcW w:w="1561" w:type="dxa"/>
            <w:vAlign w:val="center"/>
          </w:tcPr>
          <w:p w:rsidR="001838A9" w:rsidRDefault="00E554AE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b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/>
                <w:sz w:val="24"/>
                <w:szCs w:val="24"/>
              </w:rPr>
              <w:t>对应设计日降雨量</w:t>
            </w:r>
          </w:p>
        </w:tc>
      </w:tr>
      <w:tr w:rsidR="001838A9">
        <w:trPr>
          <w:trHeight w:val="300"/>
          <w:jc w:val="center"/>
        </w:trPr>
        <w:tc>
          <w:tcPr>
            <w:tcW w:w="2648" w:type="dxa"/>
            <w:gridSpan w:val="2"/>
            <w:vMerge w:val="restart"/>
            <w:vAlign w:val="center"/>
          </w:tcPr>
          <w:p w:rsidR="001838A9" w:rsidRDefault="00E554AE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居住用地</w:t>
            </w:r>
          </w:p>
        </w:tc>
        <w:tc>
          <w:tcPr>
            <w:tcW w:w="990" w:type="dxa"/>
            <w:vAlign w:val="center"/>
          </w:tcPr>
          <w:p w:rsidR="001838A9" w:rsidRDefault="00E554AE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改建</w:t>
            </w:r>
          </w:p>
        </w:tc>
        <w:tc>
          <w:tcPr>
            <w:tcW w:w="1507" w:type="dxa"/>
            <w:vAlign w:val="center"/>
          </w:tcPr>
          <w:p w:rsidR="001838A9" w:rsidRDefault="00E554AE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t>≥</w:t>
            </w: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8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0%</w:t>
            </w:r>
          </w:p>
        </w:tc>
        <w:tc>
          <w:tcPr>
            <w:tcW w:w="1590" w:type="dxa"/>
            <w:vAlign w:val="center"/>
          </w:tcPr>
          <w:p w:rsidR="001838A9" w:rsidRDefault="00E554AE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t>≥</w:t>
            </w: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48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%</w:t>
            </w:r>
          </w:p>
        </w:tc>
        <w:tc>
          <w:tcPr>
            <w:tcW w:w="1561" w:type="dxa"/>
            <w:vAlign w:val="center"/>
          </w:tcPr>
          <w:p w:rsidR="001838A9" w:rsidRDefault="00E554AE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t>≥</w:t>
            </w: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18.1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mm</w:t>
            </w:r>
          </w:p>
        </w:tc>
      </w:tr>
      <w:tr w:rsidR="001838A9">
        <w:trPr>
          <w:trHeight w:val="300"/>
          <w:jc w:val="center"/>
        </w:trPr>
        <w:tc>
          <w:tcPr>
            <w:tcW w:w="2648" w:type="dxa"/>
            <w:gridSpan w:val="2"/>
            <w:vMerge/>
            <w:vAlign w:val="center"/>
          </w:tcPr>
          <w:p w:rsidR="001838A9" w:rsidRDefault="001838A9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990" w:type="dxa"/>
            <w:vAlign w:val="center"/>
          </w:tcPr>
          <w:p w:rsidR="001838A9" w:rsidRDefault="00E554AE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新建</w:t>
            </w:r>
          </w:p>
        </w:tc>
        <w:tc>
          <w:tcPr>
            <w:tcW w:w="1507" w:type="dxa"/>
            <w:vAlign w:val="center"/>
          </w:tcPr>
          <w:p w:rsidR="001838A9" w:rsidRDefault="00E554AE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t>≥85%</w:t>
            </w:r>
          </w:p>
        </w:tc>
        <w:tc>
          <w:tcPr>
            <w:tcW w:w="1590" w:type="dxa"/>
            <w:vAlign w:val="center"/>
          </w:tcPr>
          <w:p w:rsidR="001838A9" w:rsidRDefault="00E554AE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b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t>≥</w:t>
            </w: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5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0%</w:t>
            </w:r>
          </w:p>
        </w:tc>
        <w:tc>
          <w:tcPr>
            <w:tcW w:w="1561" w:type="dxa"/>
            <w:vAlign w:val="center"/>
          </w:tcPr>
          <w:p w:rsidR="001838A9" w:rsidRDefault="00E554AE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t>≥22.0mm</w:t>
            </w:r>
          </w:p>
        </w:tc>
      </w:tr>
      <w:tr w:rsidR="001838A9">
        <w:trPr>
          <w:trHeight w:val="300"/>
          <w:jc w:val="center"/>
        </w:trPr>
        <w:tc>
          <w:tcPr>
            <w:tcW w:w="2648" w:type="dxa"/>
            <w:gridSpan w:val="2"/>
            <w:vMerge w:val="restart"/>
            <w:vAlign w:val="center"/>
          </w:tcPr>
          <w:p w:rsidR="001838A9" w:rsidRDefault="00E554AE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商业服务业设施用地</w:t>
            </w:r>
          </w:p>
        </w:tc>
        <w:tc>
          <w:tcPr>
            <w:tcW w:w="990" w:type="dxa"/>
            <w:vAlign w:val="center"/>
          </w:tcPr>
          <w:p w:rsidR="001838A9" w:rsidRDefault="00E554AE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t>改建</w:t>
            </w:r>
          </w:p>
        </w:tc>
        <w:tc>
          <w:tcPr>
            <w:tcW w:w="1507" w:type="dxa"/>
            <w:vAlign w:val="center"/>
          </w:tcPr>
          <w:p w:rsidR="001838A9" w:rsidRDefault="00E554AE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t>≥80%</w:t>
            </w:r>
          </w:p>
        </w:tc>
        <w:tc>
          <w:tcPr>
            <w:tcW w:w="1590" w:type="dxa"/>
            <w:vAlign w:val="center"/>
          </w:tcPr>
          <w:p w:rsidR="001838A9" w:rsidRDefault="00E554AE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t>≥</w:t>
            </w: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48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%</w:t>
            </w:r>
          </w:p>
        </w:tc>
        <w:tc>
          <w:tcPr>
            <w:tcW w:w="1561" w:type="dxa"/>
            <w:vAlign w:val="center"/>
          </w:tcPr>
          <w:p w:rsidR="001838A9" w:rsidRDefault="00E554AE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t>≥</w:t>
            </w: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18.1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mm</w:t>
            </w:r>
          </w:p>
        </w:tc>
      </w:tr>
      <w:tr w:rsidR="001838A9">
        <w:trPr>
          <w:trHeight w:val="300"/>
          <w:jc w:val="center"/>
        </w:trPr>
        <w:tc>
          <w:tcPr>
            <w:tcW w:w="2648" w:type="dxa"/>
            <w:gridSpan w:val="2"/>
            <w:vMerge/>
            <w:vAlign w:val="center"/>
          </w:tcPr>
          <w:p w:rsidR="001838A9" w:rsidRDefault="001838A9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990" w:type="dxa"/>
            <w:vAlign w:val="center"/>
          </w:tcPr>
          <w:p w:rsidR="001838A9" w:rsidRDefault="00E554AE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t>新建</w:t>
            </w:r>
          </w:p>
        </w:tc>
        <w:tc>
          <w:tcPr>
            <w:tcW w:w="1507" w:type="dxa"/>
            <w:vAlign w:val="center"/>
          </w:tcPr>
          <w:p w:rsidR="001838A9" w:rsidRDefault="00E554AE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t>≥85%</w:t>
            </w:r>
          </w:p>
        </w:tc>
        <w:tc>
          <w:tcPr>
            <w:tcW w:w="1590" w:type="dxa"/>
            <w:vAlign w:val="center"/>
          </w:tcPr>
          <w:p w:rsidR="001838A9" w:rsidRDefault="00E554AE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t>≥</w:t>
            </w: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5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0%</w:t>
            </w:r>
          </w:p>
        </w:tc>
        <w:tc>
          <w:tcPr>
            <w:tcW w:w="1561" w:type="dxa"/>
            <w:vAlign w:val="center"/>
          </w:tcPr>
          <w:p w:rsidR="001838A9" w:rsidRDefault="00E554AE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t>≥22.0mm</w:t>
            </w:r>
          </w:p>
        </w:tc>
      </w:tr>
      <w:tr w:rsidR="001838A9">
        <w:trPr>
          <w:trHeight w:val="300"/>
          <w:jc w:val="center"/>
        </w:trPr>
        <w:tc>
          <w:tcPr>
            <w:tcW w:w="2648" w:type="dxa"/>
            <w:gridSpan w:val="2"/>
            <w:vMerge w:val="restart"/>
            <w:vAlign w:val="center"/>
          </w:tcPr>
          <w:p w:rsidR="001838A9" w:rsidRDefault="00E554AE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公共管理与公共服务设施用地</w:t>
            </w:r>
          </w:p>
        </w:tc>
        <w:tc>
          <w:tcPr>
            <w:tcW w:w="990" w:type="dxa"/>
            <w:vAlign w:val="center"/>
          </w:tcPr>
          <w:p w:rsidR="001838A9" w:rsidRDefault="00E554AE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改建</w:t>
            </w:r>
          </w:p>
        </w:tc>
        <w:tc>
          <w:tcPr>
            <w:tcW w:w="1507" w:type="dxa"/>
            <w:vAlign w:val="center"/>
          </w:tcPr>
          <w:p w:rsidR="001838A9" w:rsidRDefault="00E554AE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t>≥</w:t>
            </w: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8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0%</w:t>
            </w:r>
          </w:p>
        </w:tc>
        <w:tc>
          <w:tcPr>
            <w:tcW w:w="1590" w:type="dxa"/>
            <w:vAlign w:val="center"/>
          </w:tcPr>
          <w:p w:rsidR="001838A9" w:rsidRDefault="00E554AE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t>≥</w:t>
            </w: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48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%</w:t>
            </w:r>
          </w:p>
        </w:tc>
        <w:tc>
          <w:tcPr>
            <w:tcW w:w="1561" w:type="dxa"/>
            <w:vAlign w:val="center"/>
          </w:tcPr>
          <w:p w:rsidR="001838A9" w:rsidRDefault="00E554AE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t>≥</w:t>
            </w: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18.1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mm</w:t>
            </w:r>
          </w:p>
        </w:tc>
      </w:tr>
      <w:tr w:rsidR="001838A9">
        <w:trPr>
          <w:trHeight w:val="300"/>
          <w:jc w:val="center"/>
        </w:trPr>
        <w:tc>
          <w:tcPr>
            <w:tcW w:w="2648" w:type="dxa"/>
            <w:gridSpan w:val="2"/>
            <w:vMerge/>
            <w:vAlign w:val="center"/>
          </w:tcPr>
          <w:p w:rsidR="001838A9" w:rsidRDefault="001838A9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990" w:type="dxa"/>
            <w:vAlign w:val="center"/>
          </w:tcPr>
          <w:p w:rsidR="001838A9" w:rsidRDefault="00E554AE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新建</w:t>
            </w:r>
          </w:p>
        </w:tc>
        <w:tc>
          <w:tcPr>
            <w:tcW w:w="1507" w:type="dxa"/>
            <w:vAlign w:val="center"/>
          </w:tcPr>
          <w:p w:rsidR="001838A9" w:rsidRDefault="00E554AE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t>≥</w:t>
            </w: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85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%</w:t>
            </w:r>
          </w:p>
        </w:tc>
        <w:tc>
          <w:tcPr>
            <w:tcW w:w="1590" w:type="dxa"/>
            <w:vAlign w:val="center"/>
          </w:tcPr>
          <w:p w:rsidR="001838A9" w:rsidRDefault="00E554AE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t>≥</w:t>
            </w: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5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0%</w:t>
            </w:r>
          </w:p>
        </w:tc>
        <w:tc>
          <w:tcPr>
            <w:tcW w:w="1561" w:type="dxa"/>
            <w:vAlign w:val="center"/>
          </w:tcPr>
          <w:p w:rsidR="001838A9" w:rsidRDefault="00E554AE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t>≥</w:t>
            </w: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22.0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mm</w:t>
            </w:r>
          </w:p>
        </w:tc>
      </w:tr>
      <w:tr w:rsidR="001838A9">
        <w:trPr>
          <w:trHeight w:val="300"/>
          <w:jc w:val="center"/>
        </w:trPr>
        <w:tc>
          <w:tcPr>
            <w:tcW w:w="2648" w:type="dxa"/>
            <w:gridSpan w:val="2"/>
            <w:vMerge w:val="restart"/>
            <w:vAlign w:val="center"/>
          </w:tcPr>
          <w:p w:rsidR="001838A9" w:rsidRDefault="00E554AE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公用设施用地</w:t>
            </w:r>
          </w:p>
        </w:tc>
        <w:tc>
          <w:tcPr>
            <w:tcW w:w="990" w:type="dxa"/>
            <w:vAlign w:val="center"/>
          </w:tcPr>
          <w:p w:rsidR="001838A9" w:rsidRDefault="00E554AE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改建</w:t>
            </w:r>
          </w:p>
        </w:tc>
        <w:tc>
          <w:tcPr>
            <w:tcW w:w="1507" w:type="dxa"/>
            <w:vAlign w:val="center"/>
          </w:tcPr>
          <w:p w:rsidR="001838A9" w:rsidRDefault="00E554AE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t>≥</w:t>
            </w: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7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5%</w:t>
            </w:r>
          </w:p>
        </w:tc>
        <w:tc>
          <w:tcPr>
            <w:tcW w:w="1590" w:type="dxa"/>
            <w:vAlign w:val="center"/>
          </w:tcPr>
          <w:p w:rsidR="001838A9" w:rsidRDefault="00E554AE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t>≥</w:t>
            </w: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45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%</w:t>
            </w:r>
          </w:p>
        </w:tc>
        <w:tc>
          <w:tcPr>
            <w:tcW w:w="1561" w:type="dxa"/>
            <w:vAlign w:val="center"/>
          </w:tcPr>
          <w:p w:rsidR="001838A9" w:rsidRDefault="00E554AE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t>≥</w:t>
            </w: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15.2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mm</w:t>
            </w:r>
          </w:p>
        </w:tc>
      </w:tr>
      <w:tr w:rsidR="001838A9">
        <w:trPr>
          <w:trHeight w:val="300"/>
          <w:jc w:val="center"/>
        </w:trPr>
        <w:tc>
          <w:tcPr>
            <w:tcW w:w="2648" w:type="dxa"/>
            <w:gridSpan w:val="2"/>
            <w:vMerge/>
            <w:vAlign w:val="center"/>
          </w:tcPr>
          <w:p w:rsidR="001838A9" w:rsidRDefault="001838A9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990" w:type="dxa"/>
            <w:vAlign w:val="center"/>
          </w:tcPr>
          <w:p w:rsidR="001838A9" w:rsidRDefault="00E554AE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新建</w:t>
            </w:r>
          </w:p>
        </w:tc>
        <w:tc>
          <w:tcPr>
            <w:tcW w:w="1507" w:type="dxa"/>
            <w:vAlign w:val="center"/>
          </w:tcPr>
          <w:p w:rsidR="001838A9" w:rsidRDefault="00E554AE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t>≥</w:t>
            </w: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80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%</w:t>
            </w:r>
          </w:p>
        </w:tc>
        <w:tc>
          <w:tcPr>
            <w:tcW w:w="1590" w:type="dxa"/>
            <w:vAlign w:val="center"/>
          </w:tcPr>
          <w:p w:rsidR="001838A9" w:rsidRDefault="00E554AE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t>≥</w:t>
            </w: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48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%</w:t>
            </w:r>
          </w:p>
        </w:tc>
        <w:tc>
          <w:tcPr>
            <w:tcW w:w="1561" w:type="dxa"/>
            <w:vAlign w:val="center"/>
          </w:tcPr>
          <w:p w:rsidR="001838A9" w:rsidRDefault="00E554AE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t>≥</w:t>
            </w: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18.1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mm</w:t>
            </w:r>
          </w:p>
        </w:tc>
      </w:tr>
      <w:tr w:rsidR="001838A9">
        <w:trPr>
          <w:trHeight w:val="300"/>
          <w:jc w:val="center"/>
        </w:trPr>
        <w:tc>
          <w:tcPr>
            <w:tcW w:w="2648" w:type="dxa"/>
            <w:gridSpan w:val="2"/>
            <w:vMerge w:val="restart"/>
            <w:vAlign w:val="center"/>
          </w:tcPr>
          <w:p w:rsidR="001838A9" w:rsidRDefault="00E554AE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工业、仓储用地</w:t>
            </w:r>
          </w:p>
        </w:tc>
        <w:tc>
          <w:tcPr>
            <w:tcW w:w="990" w:type="dxa"/>
            <w:vAlign w:val="center"/>
          </w:tcPr>
          <w:p w:rsidR="001838A9" w:rsidRDefault="00E554AE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改建</w:t>
            </w:r>
          </w:p>
        </w:tc>
        <w:tc>
          <w:tcPr>
            <w:tcW w:w="1507" w:type="dxa"/>
            <w:vAlign w:val="center"/>
          </w:tcPr>
          <w:p w:rsidR="001838A9" w:rsidRDefault="00E554AE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t>≥</w:t>
            </w: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7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5%</w:t>
            </w:r>
          </w:p>
        </w:tc>
        <w:tc>
          <w:tcPr>
            <w:tcW w:w="1590" w:type="dxa"/>
            <w:vAlign w:val="center"/>
          </w:tcPr>
          <w:p w:rsidR="001838A9" w:rsidRDefault="00E554AE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t>≥</w:t>
            </w: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45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%</w:t>
            </w:r>
          </w:p>
        </w:tc>
        <w:tc>
          <w:tcPr>
            <w:tcW w:w="1561" w:type="dxa"/>
            <w:vAlign w:val="center"/>
          </w:tcPr>
          <w:p w:rsidR="001838A9" w:rsidRDefault="00E554AE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t>≥</w:t>
            </w: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15.2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mm</w:t>
            </w:r>
          </w:p>
        </w:tc>
      </w:tr>
      <w:tr w:rsidR="001838A9">
        <w:trPr>
          <w:trHeight w:val="300"/>
          <w:jc w:val="center"/>
        </w:trPr>
        <w:tc>
          <w:tcPr>
            <w:tcW w:w="2648" w:type="dxa"/>
            <w:gridSpan w:val="2"/>
            <w:vMerge/>
            <w:vAlign w:val="center"/>
          </w:tcPr>
          <w:p w:rsidR="001838A9" w:rsidRDefault="001838A9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990" w:type="dxa"/>
            <w:vAlign w:val="center"/>
          </w:tcPr>
          <w:p w:rsidR="001838A9" w:rsidRDefault="00E554AE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新建</w:t>
            </w:r>
          </w:p>
        </w:tc>
        <w:tc>
          <w:tcPr>
            <w:tcW w:w="1507" w:type="dxa"/>
            <w:vAlign w:val="center"/>
          </w:tcPr>
          <w:p w:rsidR="001838A9" w:rsidRDefault="00E554AE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t>≥</w:t>
            </w: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80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%</w:t>
            </w:r>
          </w:p>
        </w:tc>
        <w:tc>
          <w:tcPr>
            <w:tcW w:w="1590" w:type="dxa"/>
            <w:vAlign w:val="center"/>
          </w:tcPr>
          <w:p w:rsidR="001838A9" w:rsidRDefault="00E554AE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t>≥</w:t>
            </w: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48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%</w:t>
            </w:r>
          </w:p>
        </w:tc>
        <w:tc>
          <w:tcPr>
            <w:tcW w:w="1561" w:type="dxa"/>
            <w:vAlign w:val="center"/>
          </w:tcPr>
          <w:p w:rsidR="001838A9" w:rsidRDefault="00E554AE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t>≥</w:t>
            </w: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18.1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mm</w:t>
            </w:r>
          </w:p>
        </w:tc>
      </w:tr>
      <w:tr w:rsidR="001838A9">
        <w:trPr>
          <w:trHeight w:val="300"/>
          <w:jc w:val="center"/>
        </w:trPr>
        <w:tc>
          <w:tcPr>
            <w:tcW w:w="2648" w:type="dxa"/>
            <w:gridSpan w:val="2"/>
            <w:vMerge w:val="restart"/>
            <w:vAlign w:val="center"/>
          </w:tcPr>
          <w:p w:rsidR="001838A9" w:rsidRDefault="00E554AE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广场用地</w:t>
            </w:r>
          </w:p>
        </w:tc>
        <w:tc>
          <w:tcPr>
            <w:tcW w:w="990" w:type="dxa"/>
            <w:vAlign w:val="center"/>
          </w:tcPr>
          <w:p w:rsidR="001838A9" w:rsidRDefault="00E554AE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改建</w:t>
            </w:r>
          </w:p>
        </w:tc>
        <w:tc>
          <w:tcPr>
            <w:tcW w:w="1507" w:type="dxa"/>
            <w:vAlign w:val="center"/>
          </w:tcPr>
          <w:p w:rsidR="001838A9" w:rsidRDefault="00E554AE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t>≥</w:t>
            </w: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8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0%</w:t>
            </w:r>
          </w:p>
        </w:tc>
        <w:tc>
          <w:tcPr>
            <w:tcW w:w="1590" w:type="dxa"/>
            <w:vAlign w:val="center"/>
          </w:tcPr>
          <w:p w:rsidR="001838A9" w:rsidRDefault="00E554AE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t>≥</w:t>
            </w: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48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%</w:t>
            </w:r>
          </w:p>
        </w:tc>
        <w:tc>
          <w:tcPr>
            <w:tcW w:w="1561" w:type="dxa"/>
            <w:vAlign w:val="center"/>
          </w:tcPr>
          <w:p w:rsidR="001838A9" w:rsidRDefault="00E554AE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t>≥</w:t>
            </w: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18.1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mm</w:t>
            </w:r>
          </w:p>
        </w:tc>
      </w:tr>
      <w:tr w:rsidR="001838A9">
        <w:trPr>
          <w:trHeight w:val="300"/>
          <w:jc w:val="center"/>
        </w:trPr>
        <w:tc>
          <w:tcPr>
            <w:tcW w:w="2648" w:type="dxa"/>
            <w:gridSpan w:val="2"/>
            <w:vMerge/>
            <w:vAlign w:val="center"/>
          </w:tcPr>
          <w:p w:rsidR="001838A9" w:rsidRDefault="001838A9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990" w:type="dxa"/>
            <w:vAlign w:val="center"/>
          </w:tcPr>
          <w:p w:rsidR="001838A9" w:rsidRDefault="00E554AE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新建</w:t>
            </w:r>
          </w:p>
        </w:tc>
        <w:tc>
          <w:tcPr>
            <w:tcW w:w="1507" w:type="dxa"/>
            <w:vAlign w:val="center"/>
          </w:tcPr>
          <w:p w:rsidR="001838A9" w:rsidRDefault="00E554AE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t>≥85%</w:t>
            </w:r>
          </w:p>
        </w:tc>
        <w:tc>
          <w:tcPr>
            <w:tcW w:w="1590" w:type="dxa"/>
            <w:vAlign w:val="center"/>
          </w:tcPr>
          <w:p w:rsidR="001838A9" w:rsidRDefault="00E554AE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t>≥</w:t>
            </w: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5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0%</w:t>
            </w:r>
          </w:p>
        </w:tc>
        <w:tc>
          <w:tcPr>
            <w:tcW w:w="1561" w:type="dxa"/>
            <w:vAlign w:val="center"/>
          </w:tcPr>
          <w:p w:rsidR="001838A9" w:rsidRDefault="00E554AE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t>≥22.0mm</w:t>
            </w:r>
          </w:p>
        </w:tc>
      </w:tr>
      <w:tr w:rsidR="001838A9">
        <w:trPr>
          <w:trHeight w:val="421"/>
          <w:jc w:val="center"/>
        </w:trPr>
        <w:tc>
          <w:tcPr>
            <w:tcW w:w="1014" w:type="dxa"/>
            <w:vMerge w:val="restart"/>
            <w:vAlign w:val="center"/>
          </w:tcPr>
          <w:p w:rsidR="001838A9" w:rsidRDefault="00E554AE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绿地类用地</w:t>
            </w:r>
          </w:p>
        </w:tc>
        <w:tc>
          <w:tcPr>
            <w:tcW w:w="1634" w:type="dxa"/>
            <w:vMerge w:val="restart"/>
            <w:vAlign w:val="center"/>
          </w:tcPr>
          <w:p w:rsidR="001838A9" w:rsidRDefault="00E554AE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公园及防护绿地、调蓄型公园</w:t>
            </w: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/</w:t>
            </w: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沙坑</w:t>
            </w:r>
          </w:p>
        </w:tc>
        <w:tc>
          <w:tcPr>
            <w:tcW w:w="990" w:type="dxa"/>
            <w:vAlign w:val="center"/>
          </w:tcPr>
          <w:p w:rsidR="001838A9" w:rsidRDefault="00E554AE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改建</w:t>
            </w:r>
          </w:p>
        </w:tc>
        <w:tc>
          <w:tcPr>
            <w:tcW w:w="1507" w:type="dxa"/>
            <w:vAlign w:val="center"/>
          </w:tcPr>
          <w:p w:rsidR="001838A9" w:rsidRDefault="00E554AE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t>≥</w:t>
            </w: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90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%</w:t>
            </w:r>
          </w:p>
        </w:tc>
        <w:tc>
          <w:tcPr>
            <w:tcW w:w="1590" w:type="dxa"/>
            <w:vAlign w:val="center"/>
          </w:tcPr>
          <w:p w:rsidR="001838A9" w:rsidRDefault="00E554AE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t>≥</w:t>
            </w: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54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%</w:t>
            </w:r>
          </w:p>
        </w:tc>
        <w:tc>
          <w:tcPr>
            <w:tcW w:w="1561" w:type="dxa"/>
            <w:vAlign w:val="center"/>
          </w:tcPr>
          <w:p w:rsidR="001838A9" w:rsidRDefault="00E554AE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t>≥</w:t>
            </w: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28.8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mm</w:t>
            </w:r>
          </w:p>
        </w:tc>
      </w:tr>
      <w:tr w:rsidR="001838A9">
        <w:trPr>
          <w:trHeight w:val="300"/>
          <w:jc w:val="center"/>
        </w:trPr>
        <w:tc>
          <w:tcPr>
            <w:tcW w:w="1014" w:type="dxa"/>
            <w:vMerge/>
            <w:vAlign w:val="center"/>
          </w:tcPr>
          <w:p w:rsidR="001838A9" w:rsidRDefault="001838A9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634" w:type="dxa"/>
            <w:vMerge/>
            <w:vAlign w:val="center"/>
          </w:tcPr>
          <w:p w:rsidR="001838A9" w:rsidRDefault="001838A9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990" w:type="dxa"/>
            <w:vAlign w:val="center"/>
          </w:tcPr>
          <w:p w:rsidR="001838A9" w:rsidRDefault="00E554AE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新建</w:t>
            </w:r>
          </w:p>
        </w:tc>
        <w:tc>
          <w:tcPr>
            <w:tcW w:w="1507" w:type="dxa"/>
            <w:vAlign w:val="center"/>
          </w:tcPr>
          <w:p w:rsidR="001838A9" w:rsidRDefault="00E554AE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t>≥</w:t>
            </w: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9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5%</w:t>
            </w:r>
          </w:p>
        </w:tc>
        <w:tc>
          <w:tcPr>
            <w:tcW w:w="1590" w:type="dxa"/>
            <w:vAlign w:val="center"/>
          </w:tcPr>
          <w:p w:rsidR="001838A9" w:rsidRDefault="00E554AE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t>≥</w:t>
            </w: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57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%</w:t>
            </w:r>
          </w:p>
        </w:tc>
        <w:tc>
          <w:tcPr>
            <w:tcW w:w="1561" w:type="dxa"/>
            <w:vAlign w:val="center"/>
          </w:tcPr>
          <w:p w:rsidR="001838A9" w:rsidRDefault="00E554AE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t>≥</w:t>
            </w: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35.5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mm</w:t>
            </w:r>
          </w:p>
        </w:tc>
      </w:tr>
      <w:tr w:rsidR="001838A9">
        <w:trPr>
          <w:trHeight w:val="300"/>
          <w:jc w:val="center"/>
        </w:trPr>
        <w:tc>
          <w:tcPr>
            <w:tcW w:w="2648" w:type="dxa"/>
            <w:gridSpan w:val="2"/>
            <w:vMerge w:val="restart"/>
            <w:vAlign w:val="center"/>
          </w:tcPr>
          <w:p w:rsidR="001838A9" w:rsidRDefault="00E554AE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道路用地</w:t>
            </w:r>
          </w:p>
        </w:tc>
        <w:tc>
          <w:tcPr>
            <w:tcW w:w="990" w:type="dxa"/>
            <w:vAlign w:val="center"/>
          </w:tcPr>
          <w:p w:rsidR="001838A9" w:rsidRDefault="00E554AE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改建</w:t>
            </w:r>
          </w:p>
        </w:tc>
        <w:tc>
          <w:tcPr>
            <w:tcW w:w="1507" w:type="dxa"/>
            <w:vAlign w:val="center"/>
          </w:tcPr>
          <w:p w:rsidR="001838A9" w:rsidRDefault="00E554AE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t>≥</w:t>
            </w: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75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%</w:t>
            </w:r>
          </w:p>
        </w:tc>
        <w:tc>
          <w:tcPr>
            <w:tcW w:w="1590" w:type="dxa"/>
            <w:vAlign w:val="center"/>
          </w:tcPr>
          <w:p w:rsidR="001838A9" w:rsidRDefault="00E554AE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t>≥</w:t>
            </w: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45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%</w:t>
            </w:r>
          </w:p>
        </w:tc>
        <w:tc>
          <w:tcPr>
            <w:tcW w:w="1561" w:type="dxa"/>
            <w:vAlign w:val="center"/>
          </w:tcPr>
          <w:p w:rsidR="001838A9" w:rsidRDefault="00E554AE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t>≥</w:t>
            </w: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15.2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mm</w:t>
            </w:r>
          </w:p>
        </w:tc>
      </w:tr>
      <w:tr w:rsidR="001838A9">
        <w:trPr>
          <w:trHeight w:val="300"/>
          <w:jc w:val="center"/>
        </w:trPr>
        <w:tc>
          <w:tcPr>
            <w:tcW w:w="2648" w:type="dxa"/>
            <w:gridSpan w:val="2"/>
            <w:vMerge/>
            <w:vAlign w:val="center"/>
          </w:tcPr>
          <w:p w:rsidR="001838A9" w:rsidRDefault="001838A9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990" w:type="dxa"/>
            <w:vAlign w:val="center"/>
          </w:tcPr>
          <w:p w:rsidR="001838A9" w:rsidRDefault="00E554AE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新建</w:t>
            </w:r>
          </w:p>
        </w:tc>
        <w:tc>
          <w:tcPr>
            <w:tcW w:w="1507" w:type="dxa"/>
            <w:vAlign w:val="center"/>
          </w:tcPr>
          <w:p w:rsidR="001838A9" w:rsidRDefault="00E554AE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t>≥</w:t>
            </w: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80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%</w:t>
            </w:r>
          </w:p>
        </w:tc>
        <w:tc>
          <w:tcPr>
            <w:tcW w:w="1590" w:type="dxa"/>
            <w:vAlign w:val="center"/>
          </w:tcPr>
          <w:p w:rsidR="001838A9" w:rsidRDefault="00E554AE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t>≥</w:t>
            </w: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48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%</w:t>
            </w:r>
          </w:p>
        </w:tc>
        <w:tc>
          <w:tcPr>
            <w:tcW w:w="1561" w:type="dxa"/>
            <w:vAlign w:val="center"/>
          </w:tcPr>
          <w:p w:rsidR="001838A9" w:rsidRDefault="00E554AE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t>≥</w:t>
            </w: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18.1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mm</w:t>
            </w:r>
          </w:p>
        </w:tc>
      </w:tr>
    </w:tbl>
    <w:p w:rsidR="001838A9" w:rsidRDefault="001838A9">
      <w:pPr>
        <w:spacing w:line="360" w:lineRule="auto"/>
        <w:jc w:val="center"/>
        <w:rPr>
          <w:rFonts w:ascii="Times New Roman" w:eastAsia="仿宋_GB2312" w:hAnsi="Times New Roman"/>
          <w:b/>
          <w:bCs/>
          <w:sz w:val="24"/>
          <w:szCs w:val="24"/>
        </w:rPr>
      </w:pPr>
    </w:p>
    <w:p w:rsidR="001838A9" w:rsidRDefault="00E554AE">
      <w:pPr>
        <w:spacing w:line="360" w:lineRule="auto"/>
        <w:jc w:val="center"/>
        <w:rPr>
          <w:rFonts w:ascii="Times New Roman" w:eastAsia="仿宋_GB2312" w:hAnsi="Times New Roman"/>
          <w:b/>
          <w:bCs/>
          <w:sz w:val="24"/>
          <w:szCs w:val="24"/>
        </w:rPr>
      </w:pPr>
      <w:r>
        <w:rPr>
          <w:rFonts w:ascii="Times New Roman" w:eastAsia="仿宋_GB2312" w:hAnsi="Times New Roman"/>
          <w:b/>
          <w:bCs/>
          <w:sz w:val="24"/>
          <w:szCs w:val="24"/>
        </w:rPr>
        <w:t>表</w:t>
      </w:r>
      <w:r>
        <w:rPr>
          <w:rFonts w:ascii="仿宋_GB2312" w:eastAsia="仿宋_GB2312" w:hAnsi="仿宋_GB2312" w:cs="仿宋_GB2312" w:hint="eastAsia"/>
          <w:b/>
          <w:bCs/>
          <w:sz w:val="24"/>
          <w:szCs w:val="24"/>
        </w:rPr>
        <w:t xml:space="preserve">2 </w:t>
      </w:r>
      <w:r>
        <w:rPr>
          <w:rFonts w:ascii="Times New Roman" w:eastAsia="仿宋_GB2312" w:hAnsi="Times New Roman" w:hint="eastAsia"/>
          <w:b/>
          <w:bCs/>
          <w:sz w:val="24"/>
          <w:szCs w:val="24"/>
        </w:rPr>
        <w:t xml:space="preserve"> </w:t>
      </w:r>
      <w:r>
        <w:rPr>
          <w:rFonts w:ascii="Times New Roman" w:eastAsia="仿宋_GB2312" w:hAnsi="Times New Roman" w:hint="eastAsia"/>
          <w:b/>
          <w:bCs/>
          <w:sz w:val="24"/>
          <w:szCs w:val="24"/>
        </w:rPr>
        <w:t>地块年径流总量控制率调整表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5"/>
        <w:gridCol w:w="1078"/>
        <w:gridCol w:w="1083"/>
        <w:gridCol w:w="1082"/>
        <w:gridCol w:w="1083"/>
        <w:gridCol w:w="1082"/>
        <w:gridCol w:w="1083"/>
      </w:tblGrid>
      <w:tr w:rsidR="001838A9">
        <w:trPr>
          <w:trHeight w:val="300"/>
          <w:jc w:val="center"/>
        </w:trPr>
        <w:tc>
          <w:tcPr>
            <w:tcW w:w="1087" w:type="pct"/>
            <w:vMerge w:val="restart"/>
            <w:vAlign w:val="center"/>
          </w:tcPr>
          <w:p w:rsidR="001838A9" w:rsidRDefault="00E554AE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b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b/>
                <w:sz w:val="24"/>
                <w:szCs w:val="24"/>
              </w:rPr>
              <w:t>用地</w:t>
            </w:r>
            <w:r>
              <w:rPr>
                <w:rFonts w:ascii="Times New Roman" w:eastAsia="仿宋_GB2312" w:hAnsi="Times New Roman"/>
                <w:b/>
                <w:sz w:val="24"/>
                <w:szCs w:val="24"/>
              </w:rPr>
              <w:t>类型</w:t>
            </w:r>
          </w:p>
        </w:tc>
        <w:tc>
          <w:tcPr>
            <w:tcW w:w="1955" w:type="pct"/>
            <w:gridSpan w:val="3"/>
            <w:vAlign w:val="center"/>
          </w:tcPr>
          <w:p w:rsidR="001838A9" w:rsidRDefault="00E554AE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b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b/>
                <w:sz w:val="24"/>
                <w:szCs w:val="24"/>
              </w:rPr>
              <w:t>建筑密度</w:t>
            </w:r>
          </w:p>
        </w:tc>
        <w:tc>
          <w:tcPr>
            <w:tcW w:w="1958" w:type="pct"/>
            <w:gridSpan w:val="3"/>
            <w:vAlign w:val="center"/>
          </w:tcPr>
          <w:p w:rsidR="001838A9" w:rsidRDefault="00E554AE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b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b/>
                <w:sz w:val="24"/>
                <w:szCs w:val="24"/>
              </w:rPr>
              <w:t>绿地率</w:t>
            </w:r>
          </w:p>
        </w:tc>
      </w:tr>
      <w:tr w:rsidR="001838A9">
        <w:trPr>
          <w:trHeight w:val="300"/>
          <w:jc w:val="center"/>
        </w:trPr>
        <w:tc>
          <w:tcPr>
            <w:tcW w:w="1087" w:type="pct"/>
            <w:vMerge/>
            <w:vAlign w:val="center"/>
          </w:tcPr>
          <w:p w:rsidR="001838A9" w:rsidRDefault="001838A9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b/>
                <w:sz w:val="24"/>
                <w:szCs w:val="24"/>
              </w:rPr>
            </w:pPr>
          </w:p>
        </w:tc>
        <w:tc>
          <w:tcPr>
            <w:tcW w:w="650" w:type="pct"/>
            <w:vAlign w:val="center"/>
          </w:tcPr>
          <w:p w:rsidR="001838A9" w:rsidRDefault="00E554AE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bCs/>
                <w:szCs w:val="21"/>
              </w:rPr>
            </w:pPr>
            <w:r>
              <w:rPr>
                <w:rFonts w:ascii="Times New Roman" w:eastAsia="仿宋_GB2312" w:hAnsi="Times New Roman" w:hint="eastAsia"/>
                <w:bCs/>
                <w:szCs w:val="21"/>
              </w:rPr>
              <w:t>≤</w:t>
            </w:r>
            <w:r>
              <w:rPr>
                <w:rFonts w:ascii="Times New Roman" w:eastAsia="仿宋_GB2312" w:hAnsi="Times New Roman" w:hint="eastAsia"/>
                <w:bCs/>
                <w:szCs w:val="21"/>
              </w:rPr>
              <w:t>25%</w:t>
            </w:r>
          </w:p>
        </w:tc>
        <w:tc>
          <w:tcPr>
            <w:tcW w:w="653" w:type="pct"/>
            <w:vAlign w:val="center"/>
          </w:tcPr>
          <w:p w:rsidR="001838A9" w:rsidRDefault="00E554AE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bCs/>
                <w:szCs w:val="21"/>
              </w:rPr>
            </w:pPr>
            <w:r>
              <w:rPr>
                <w:rFonts w:ascii="Times New Roman" w:eastAsia="仿宋_GB2312" w:hAnsi="Times New Roman" w:hint="eastAsia"/>
                <w:bCs/>
                <w:szCs w:val="21"/>
              </w:rPr>
              <w:t>25%-40%</w:t>
            </w:r>
          </w:p>
        </w:tc>
        <w:tc>
          <w:tcPr>
            <w:tcW w:w="652" w:type="pct"/>
            <w:vAlign w:val="center"/>
          </w:tcPr>
          <w:p w:rsidR="001838A9" w:rsidRDefault="00E554AE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bCs/>
                <w:szCs w:val="21"/>
              </w:rPr>
            </w:pPr>
            <w:r>
              <w:rPr>
                <w:rFonts w:ascii="Times New Roman" w:eastAsia="仿宋_GB2312" w:hAnsi="Times New Roman" w:hint="eastAsia"/>
                <w:bCs/>
                <w:szCs w:val="21"/>
              </w:rPr>
              <w:t>＞</w:t>
            </w:r>
            <w:r>
              <w:rPr>
                <w:rFonts w:ascii="Times New Roman" w:eastAsia="仿宋_GB2312" w:hAnsi="Times New Roman" w:hint="eastAsia"/>
                <w:bCs/>
                <w:szCs w:val="21"/>
              </w:rPr>
              <w:t>40%</w:t>
            </w:r>
          </w:p>
        </w:tc>
        <w:tc>
          <w:tcPr>
            <w:tcW w:w="653" w:type="pct"/>
            <w:vAlign w:val="center"/>
          </w:tcPr>
          <w:p w:rsidR="001838A9" w:rsidRDefault="00E554AE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b/>
                <w:szCs w:val="21"/>
              </w:rPr>
            </w:pPr>
            <w:r>
              <w:rPr>
                <w:rFonts w:ascii="Times New Roman" w:eastAsia="仿宋_GB2312" w:hAnsi="Times New Roman" w:hint="eastAsia"/>
                <w:bCs/>
                <w:szCs w:val="21"/>
              </w:rPr>
              <w:t>≤</w:t>
            </w:r>
            <w:r>
              <w:rPr>
                <w:rFonts w:ascii="Times New Roman" w:eastAsia="仿宋_GB2312" w:hAnsi="Times New Roman" w:hint="eastAsia"/>
                <w:bCs/>
                <w:szCs w:val="21"/>
              </w:rPr>
              <w:t>30%</w:t>
            </w:r>
          </w:p>
        </w:tc>
        <w:tc>
          <w:tcPr>
            <w:tcW w:w="652" w:type="pct"/>
            <w:vAlign w:val="center"/>
          </w:tcPr>
          <w:p w:rsidR="001838A9" w:rsidRDefault="00E554AE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b/>
                <w:szCs w:val="21"/>
              </w:rPr>
            </w:pPr>
            <w:r>
              <w:rPr>
                <w:rFonts w:ascii="Times New Roman" w:eastAsia="仿宋_GB2312" w:hAnsi="Times New Roman" w:hint="eastAsia"/>
                <w:bCs/>
                <w:szCs w:val="21"/>
              </w:rPr>
              <w:t>30%-40%</w:t>
            </w:r>
          </w:p>
        </w:tc>
        <w:tc>
          <w:tcPr>
            <w:tcW w:w="653" w:type="pct"/>
            <w:vAlign w:val="center"/>
          </w:tcPr>
          <w:p w:rsidR="001838A9" w:rsidRDefault="00E554AE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b/>
                <w:szCs w:val="21"/>
              </w:rPr>
            </w:pPr>
            <w:r>
              <w:rPr>
                <w:rFonts w:ascii="Times New Roman" w:eastAsia="仿宋_GB2312" w:hAnsi="Times New Roman" w:hint="eastAsia"/>
                <w:bCs/>
                <w:szCs w:val="21"/>
              </w:rPr>
              <w:t>＞</w:t>
            </w:r>
            <w:r>
              <w:rPr>
                <w:rFonts w:ascii="Times New Roman" w:eastAsia="仿宋_GB2312" w:hAnsi="Times New Roman" w:hint="eastAsia"/>
                <w:bCs/>
                <w:szCs w:val="21"/>
              </w:rPr>
              <w:t>40%</w:t>
            </w:r>
          </w:p>
        </w:tc>
      </w:tr>
      <w:tr w:rsidR="001838A9">
        <w:trPr>
          <w:trHeight w:val="300"/>
          <w:jc w:val="center"/>
        </w:trPr>
        <w:tc>
          <w:tcPr>
            <w:tcW w:w="1087" w:type="pct"/>
            <w:vAlign w:val="center"/>
          </w:tcPr>
          <w:p w:rsidR="001838A9" w:rsidRDefault="00E554AE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居住用地</w:t>
            </w:r>
          </w:p>
        </w:tc>
        <w:tc>
          <w:tcPr>
            <w:tcW w:w="650" w:type="pct"/>
            <w:vAlign w:val="center"/>
          </w:tcPr>
          <w:p w:rsidR="001838A9" w:rsidRDefault="00E554AE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+5%</w:t>
            </w:r>
          </w:p>
        </w:tc>
        <w:tc>
          <w:tcPr>
            <w:tcW w:w="653" w:type="pct"/>
            <w:vAlign w:val="center"/>
          </w:tcPr>
          <w:p w:rsidR="001838A9" w:rsidRDefault="00E554AE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0</w:t>
            </w:r>
          </w:p>
        </w:tc>
        <w:tc>
          <w:tcPr>
            <w:tcW w:w="652" w:type="pct"/>
            <w:vAlign w:val="center"/>
          </w:tcPr>
          <w:p w:rsidR="001838A9" w:rsidRDefault="00E554AE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-5%</w:t>
            </w:r>
          </w:p>
        </w:tc>
        <w:tc>
          <w:tcPr>
            <w:tcW w:w="653" w:type="pct"/>
            <w:vAlign w:val="center"/>
          </w:tcPr>
          <w:p w:rsidR="001838A9" w:rsidRDefault="00E554AE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-5%</w:t>
            </w:r>
          </w:p>
        </w:tc>
        <w:tc>
          <w:tcPr>
            <w:tcW w:w="652" w:type="pct"/>
            <w:vAlign w:val="center"/>
          </w:tcPr>
          <w:p w:rsidR="001838A9" w:rsidRDefault="00E554AE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0</w:t>
            </w:r>
          </w:p>
        </w:tc>
        <w:tc>
          <w:tcPr>
            <w:tcW w:w="653" w:type="pct"/>
            <w:vAlign w:val="center"/>
          </w:tcPr>
          <w:p w:rsidR="001838A9" w:rsidRDefault="00E554AE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+5%</w:t>
            </w:r>
          </w:p>
        </w:tc>
      </w:tr>
      <w:tr w:rsidR="001838A9">
        <w:trPr>
          <w:trHeight w:val="300"/>
          <w:jc w:val="center"/>
        </w:trPr>
        <w:tc>
          <w:tcPr>
            <w:tcW w:w="1087" w:type="pct"/>
            <w:vAlign w:val="center"/>
          </w:tcPr>
          <w:p w:rsidR="001838A9" w:rsidRDefault="00E554AE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公共管理与公共服务设施用地、商业用地、公用设施用地</w:t>
            </w:r>
          </w:p>
        </w:tc>
        <w:tc>
          <w:tcPr>
            <w:tcW w:w="650" w:type="pct"/>
            <w:vAlign w:val="center"/>
          </w:tcPr>
          <w:p w:rsidR="001838A9" w:rsidRDefault="00E554AE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+5%</w:t>
            </w:r>
          </w:p>
        </w:tc>
        <w:tc>
          <w:tcPr>
            <w:tcW w:w="653" w:type="pct"/>
            <w:vAlign w:val="center"/>
          </w:tcPr>
          <w:p w:rsidR="001838A9" w:rsidRDefault="00E554AE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0</w:t>
            </w:r>
          </w:p>
        </w:tc>
        <w:tc>
          <w:tcPr>
            <w:tcW w:w="652" w:type="pct"/>
            <w:vAlign w:val="center"/>
          </w:tcPr>
          <w:p w:rsidR="001838A9" w:rsidRDefault="00E554AE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-5%</w:t>
            </w:r>
          </w:p>
        </w:tc>
        <w:tc>
          <w:tcPr>
            <w:tcW w:w="653" w:type="pct"/>
            <w:vAlign w:val="center"/>
          </w:tcPr>
          <w:p w:rsidR="001838A9" w:rsidRDefault="00E554AE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-5%</w:t>
            </w:r>
          </w:p>
        </w:tc>
        <w:tc>
          <w:tcPr>
            <w:tcW w:w="652" w:type="pct"/>
            <w:vAlign w:val="center"/>
          </w:tcPr>
          <w:p w:rsidR="001838A9" w:rsidRDefault="00E554AE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0</w:t>
            </w:r>
          </w:p>
        </w:tc>
        <w:tc>
          <w:tcPr>
            <w:tcW w:w="653" w:type="pct"/>
            <w:vAlign w:val="center"/>
          </w:tcPr>
          <w:p w:rsidR="001838A9" w:rsidRDefault="00E554AE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+5%</w:t>
            </w:r>
          </w:p>
        </w:tc>
      </w:tr>
      <w:tr w:rsidR="001838A9">
        <w:trPr>
          <w:trHeight w:val="300"/>
          <w:jc w:val="center"/>
        </w:trPr>
        <w:tc>
          <w:tcPr>
            <w:tcW w:w="1087" w:type="pct"/>
            <w:vAlign w:val="center"/>
          </w:tcPr>
          <w:p w:rsidR="001838A9" w:rsidRDefault="00E554AE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工业、仓储用</w:t>
            </w: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lastRenderedPageBreak/>
              <w:t>地</w:t>
            </w:r>
          </w:p>
        </w:tc>
        <w:tc>
          <w:tcPr>
            <w:tcW w:w="650" w:type="pct"/>
            <w:vAlign w:val="center"/>
          </w:tcPr>
          <w:p w:rsidR="001838A9" w:rsidRDefault="00E554AE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lastRenderedPageBreak/>
              <w:t>+5%</w:t>
            </w:r>
          </w:p>
        </w:tc>
        <w:tc>
          <w:tcPr>
            <w:tcW w:w="653" w:type="pct"/>
            <w:vAlign w:val="center"/>
          </w:tcPr>
          <w:p w:rsidR="001838A9" w:rsidRDefault="00E554AE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0</w:t>
            </w:r>
          </w:p>
        </w:tc>
        <w:tc>
          <w:tcPr>
            <w:tcW w:w="652" w:type="pct"/>
            <w:vAlign w:val="center"/>
          </w:tcPr>
          <w:p w:rsidR="001838A9" w:rsidRDefault="00E554AE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-5%</w:t>
            </w:r>
          </w:p>
        </w:tc>
        <w:tc>
          <w:tcPr>
            <w:tcW w:w="653" w:type="pct"/>
            <w:vAlign w:val="center"/>
          </w:tcPr>
          <w:p w:rsidR="001838A9" w:rsidRDefault="00E554AE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0</w:t>
            </w:r>
          </w:p>
        </w:tc>
        <w:tc>
          <w:tcPr>
            <w:tcW w:w="652" w:type="pct"/>
            <w:vAlign w:val="center"/>
          </w:tcPr>
          <w:p w:rsidR="001838A9" w:rsidRDefault="00E554AE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+5%</w:t>
            </w:r>
          </w:p>
        </w:tc>
        <w:tc>
          <w:tcPr>
            <w:tcW w:w="653" w:type="pct"/>
            <w:vAlign w:val="center"/>
          </w:tcPr>
          <w:p w:rsidR="001838A9" w:rsidRDefault="00E554AE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+5%</w:t>
            </w:r>
          </w:p>
        </w:tc>
      </w:tr>
    </w:tbl>
    <w:p w:rsidR="001838A9" w:rsidRDefault="00E554AE">
      <w:pPr>
        <w:spacing w:line="360" w:lineRule="auto"/>
        <w:rPr>
          <w:rFonts w:ascii="Times New Roman" w:eastAsia="仿宋_GB2312" w:hAnsi="Times New Roman"/>
          <w:sz w:val="24"/>
          <w:szCs w:val="24"/>
        </w:rPr>
      </w:pPr>
      <w:r>
        <w:rPr>
          <w:rFonts w:ascii="Times New Roman" w:eastAsia="仿宋_GB2312" w:hAnsi="Times New Roman"/>
          <w:sz w:val="24"/>
          <w:szCs w:val="24"/>
        </w:rPr>
        <w:lastRenderedPageBreak/>
        <w:t>注：</w:t>
      </w:r>
      <w:r>
        <w:rPr>
          <w:rFonts w:ascii="Times New Roman" w:eastAsia="仿宋_GB2312" w:hAnsi="Times New Roman"/>
          <w:sz w:val="24"/>
          <w:szCs w:val="24"/>
        </w:rPr>
        <w:t>1</w:t>
      </w:r>
      <w:r>
        <w:rPr>
          <w:rFonts w:ascii="Times New Roman" w:eastAsia="仿宋_GB2312" w:hAnsi="Times New Roman" w:hint="eastAsia"/>
          <w:sz w:val="24"/>
          <w:szCs w:val="24"/>
        </w:rPr>
        <w:t>.</w:t>
      </w:r>
      <w:r>
        <w:rPr>
          <w:rFonts w:ascii="Times New Roman" w:eastAsia="仿宋_GB2312" w:hAnsi="Times New Roman"/>
          <w:sz w:val="24"/>
          <w:szCs w:val="24"/>
        </w:rPr>
        <w:t>项目按规划用地</w:t>
      </w:r>
      <w:r>
        <w:rPr>
          <w:rFonts w:ascii="Times New Roman" w:eastAsia="仿宋_GB2312" w:hAnsi="Times New Roman" w:hint="eastAsia"/>
          <w:sz w:val="24"/>
          <w:szCs w:val="24"/>
        </w:rPr>
        <w:t>类型</w:t>
      </w:r>
      <w:r>
        <w:rPr>
          <w:rFonts w:ascii="Times New Roman" w:eastAsia="仿宋_GB2312" w:hAnsi="Times New Roman"/>
          <w:sz w:val="24"/>
          <w:szCs w:val="24"/>
        </w:rPr>
        <w:t>分类。</w:t>
      </w:r>
    </w:p>
    <w:p w:rsidR="001838A9" w:rsidRDefault="00E554AE">
      <w:pPr>
        <w:spacing w:line="360" w:lineRule="auto"/>
        <w:ind w:firstLineChars="200" w:firstLine="480"/>
        <w:rPr>
          <w:rFonts w:ascii="Times New Roman" w:eastAsia="仿宋_GB2312" w:hAnsi="Times New Roman"/>
          <w:sz w:val="24"/>
          <w:szCs w:val="24"/>
        </w:rPr>
      </w:pPr>
      <w:r>
        <w:rPr>
          <w:rFonts w:ascii="Times New Roman" w:eastAsia="仿宋_GB2312" w:hAnsi="Times New Roman" w:hint="eastAsia"/>
          <w:sz w:val="24"/>
          <w:szCs w:val="24"/>
        </w:rPr>
        <w:t>2.</w:t>
      </w:r>
      <w:r>
        <w:rPr>
          <w:rFonts w:ascii="Times New Roman" w:eastAsia="仿宋_GB2312" w:hAnsi="Times New Roman" w:hint="eastAsia"/>
          <w:sz w:val="24"/>
          <w:szCs w:val="24"/>
        </w:rPr>
        <w:t>年径流总量控制率</w:t>
      </w:r>
      <w:r>
        <w:rPr>
          <w:rFonts w:ascii="Times New Roman" w:eastAsia="仿宋_GB2312" w:hAnsi="Times New Roman"/>
          <w:sz w:val="24"/>
          <w:szCs w:val="24"/>
        </w:rPr>
        <w:t>与建筑密度、绿地率、地下空间等因素密切相关。</w:t>
      </w:r>
      <w:r>
        <w:rPr>
          <w:rFonts w:ascii="Times New Roman" w:eastAsia="仿宋_GB2312" w:hAnsi="Times New Roman" w:hint="eastAsia"/>
          <w:sz w:val="24"/>
          <w:szCs w:val="24"/>
        </w:rPr>
        <w:t>以海绵城市建设分区的年径流总量控制率为基准（见表</w:t>
      </w:r>
      <w:r>
        <w:rPr>
          <w:rFonts w:ascii="Times New Roman" w:eastAsia="仿宋_GB2312" w:hAnsi="Times New Roman" w:hint="eastAsia"/>
          <w:sz w:val="24"/>
          <w:szCs w:val="24"/>
        </w:rPr>
        <w:t>1</w:t>
      </w:r>
      <w:r>
        <w:rPr>
          <w:rFonts w:ascii="Times New Roman" w:eastAsia="仿宋_GB2312" w:hAnsi="Times New Roman" w:hint="eastAsia"/>
          <w:sz w:val="24"/>
          <w:szCs w:val="24"/>
        </w:rPr>
        <w:t>），根据用地类型特征、开发强度等调整相应的地块径流控制指标（见表</w:t>
      </w:r>
      <w:r>
        <w:rPr>
          <w:rFonts w:ascii="Times New Roman" w:eastAsia="仿宋_GB2312" w:hAnsi="Times New Roman" w:hint="eastAsia"/>
          <w:sz w:val="24"/>
          <w:szCs w:val="24"/>
        </w:rPr>
        <w:t>2</w:t>
      </w:r>
      <w:r>
        <w:rPr>
          <w:rFonts w:ascii="Times New Roman" w:eastAsia="仿宋_GB2312" w:hAnsi="Times New Roman" w:hint="eastAsia"/>
          <w:sz w:val="24"/>
          <w:szCs w:val="24"/>
        </w:rPr>
        <w:t>）</w:t>
      </w:r>
      <w:r>
        <w:rPr>
          <w:rFonts w:ascii="Times New Roman" w:eastAsia="仿宋_GB2312" w:hAnsi="Times New Roman"/>
          <w:sz w:val="24"/>
          <w:szCs w:val="24"/>
        </w:rPr>
        <w:t>。</w:t>
      </w:r>
    </w:p>
    <w:p w:rsidR="001838A9" w:rsidRDefault="00E554AE">
      <w:pPr>
        <w:spacing w:line="360" w:lineRule="auto"/>
        <w:ind w:firstLineChars="200" w:firstLine="480"/>
        <w:rPr>
          <w:rFonts w:ascii="Times New Roman" w:eastAsia="仿宋_GB2312" w:hAnsi="Times New Roman"/>
          <w:sz w:val="24"/>
          <w:szCs w:val="24"/>
        </w:rPr>
      </w:pPr>
      <w:r>
        <w:rPr>
          <w:rFonts w:ascii="Times New Roman" w:eastAsia="仿宋_GB2312" w:hAnsi="Times New Roman" w:hint="eastAsia"/>
          <w:sz w:val="24"/>
          <w:szCs w:val="24"/>
        </w:rPr>
        <w:t>3.</w:t>
      </w:r>
      <w:r>
        <w:rPr>
          <w:rFonts w:ascii="Times New Roman" w:eastAsia="仿宋_GB2312" w:hAnsi="Times New Roman" w:hint="eastAsia"/>
          <w:sz w:val="24"/>
          <w:szCs w:val="24"/>
        </w:rPr>
        <w:t>指标参考来源《内蒙古自治区海绵城市建设技术导则》、《呼和浩特市海绵城市专项规划（</w:t>
      </w:r>
      <w:r>
        <w:rPr>
          <w:rFonts w:ascii="Times New Roman" w:eastAsia="仿宋_GB2312" w:hAnsi="Times New Roman" w:hint="eastAsia"/>
          <w:sz w:val="24"/>
          <w:szCs w:val="24"/>
        </w:rPr>
        <w:t>2022-2035</w:t>
      </w:r>
      <w:r>
        <w:rPr>
          <w:rFonts w:ascii="Times New Roman" w:eastAsia="仿宋_GB2312" w:hAnsi="Times New Roman" w:hint="eastAsia"/>
          <w:sz w:val="24"/>
          <w:szCs w:val="24"/>
        </w:rPr>
        <w:t>）》。</w:t>
      </w:r>
    </w:p>
    <w:p w:rsidR="001838A9" w:rsidRDefault="00E554AE">
      <w:pPr>
        <w:spacing w:line="360" w:lineRule="auto"/>
        <w:ind w:firstLineChars="200" w:firstLine="640"/>
        <w:rPr>
          <w:rFonts w:ascii="Times New Roman" w:eastAsia="仿宋_GB2312" w:hAnsi="Times New Roman"/>
          <w:b/>
          <w:bCs/>
          <w:sz w:val="28"/>
          <w:szCs w:val="28"/>
        </w:rPr>
      </w:pPr>
      <w:r>
        <w:rPr>
          <w:rFonts w:ascii="CESI黑体-GB2312" w:eastAsia="CESI黑体-GB2312" w:hAnsi="CESI黑体-GB2312" w:cs="CESI黑体-GB2312" w:hint="eastAsia"/>
          <w:sz w:val="32"/>
          <w:szCs w:val="32"/>
        </w:rPr>
        <w:t>二、海绵城市分类建设用地引导性指标表</w:t>
      </w:r>
    </w:p>
    <w:p w:rsidR="001838A9" w:rsidRDefault="00E554AE">
      <w:pPr>
        <w:spacing w:line="360" w:lineRule="auto"/>
        <w:jc w:val="center"/>
        <w:rPr>
          <w:rFonts w:ascii="Times New Roman" w:eastAsia="仿宋_GB2312" w:hAnsi="Times New Roman"/>
          <w:b/>
          <w:bCs/>
          <w:sz w:val="24"/>
          <w:szCs w:val="24"/>
        </w:rPr>
      </w:pPr>
      <w:r>
        <w:rPr>
          <w:rFonts w:ascii="Times New Roman" w:eastAsia="仿宋_GB2312" w:hAnsi="Times New Roman"/>
          <w:b/>
          <w:bCs/>
          <w:sz w:val="24"/>
          <w:szCs w:val="24"/>
        </w:rPr>
        <w:t>表</w:t>
      </w:r>
      <w:r>
        <w:rPr>
          <w:rFonts w:ascii="仿宋_GB2312" w:eastAsia="仿宋_GB2312" w:hAnsi="仿宋_GB2312" w:cs="仿宋_GB2312" w:hint="eastAsia"/>
          <w:b/>
          <w:bCs/>
          <w:sz w:val="24"/>
          <w:szCs w:val="24"/>
        </w:rPr>
        <w:t xml:space="preserve">3 </w:t>
      </w:r>
      <w:r>
        <w:rPr>
          <w:rFonts w:ascii="Times New Roman" w:eastAsia="仿宋_GB2312" w:hAnsi="Times New Roman" w:hint="eastAsia"/>
          <w:b/>
          <w:bCs/>
          <w:sz w:val="24"/>
          <w:szCs w:val="24"/>
        </w:rPr>
        <w:t xml:space="preserve">  </w:t>
      </w:r>
      <w:r>
        <w:rPr>
          <w:rFonts w:ascii="Times New Roman" w:eastAsia="仿宋_GB2312" w:hAnsi="Times New Roman" w:hint="eastAsia"/>
          <w:b/>
          <w:bCs/>
          <w:sz w:val="24"/>
          <w:szCs w:val="24"/>
        </w:rPr>
        <w:t>海绵城市分类建设用地引导性指标表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11"/>
        <w:gridCol w:w="2079"/>
        <w:gridCol w:w="1983"/>
        <w:gridCol w:w="1923"/>
      </w:tblGrid>
      <w:tr w:rsidR="001838A9">
        <w:trPr>
          <w:trHeight w:val="300"/>
          <w:jc w:val="center"/>
        </w:trPr>
        <w:tc>
          <w:tcPr>
            <w:tcW w:w="1393" w:type="pct"/>
            <w:vMerge w:val="restart"/>
            <w:vAlign w:val="center"/>
          </w:tcPr>
          <w:p w:rsidR="001838A9" w:rsidRDefault="00E554AE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b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b/>
                <w:sz w:val="24"/>
                <w:szCs w:val="24"/>
              </w:rPr>
              <w:t>用地</w:t>
            </w:r>
            <w:r>
              <w:rPr>
                <w:rFonts w:ascii="Times New Roman" w:eastAsia="仿宋_GB2312" w:hAnsi="Times New Roman"/>
                <w:b/>
                <w:sz w:val="24"/>
                <w:szCs w:val="24"/>
              </w:rPr>
              <w:t>类型</w:t>
            </w:r>
          </w:p>
        </w:tc>
        <w:tc>
          <w:tcPr>
            <w:tcW w:w="1253" w:type="pct"/>
            <w:vMerge w:val="restart"/>
            <w:vAlign w:val="center"/>
          </w:tcPr>
          <w:p w:rsidR="001838A9" w:rsidRDefault="00E554AE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b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b/>
                <w:sz w:val="24"/>
                <w:szCs w:val="24"/>
              </w:rPr>
              <w:t>建设方式</w:t>
            </w:r>
          </w:p>
        </w:tc>
        <w:tc>
          <w:tcPr>
            <w:tcW w:w="2354" w:type="pct"/>
            <w:gridSpan w:val="2"/>
            <w:vAlign w:val="center"/>
          </w:tcPr>
          <w:p w:rsidR="001838A9" w:rsidRDefault="00E554AE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b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b/>
                <w:sz w:val="24"/>
                <w:szCs w:val="24"/>
              </w:rPr>
              <w:t>引导性标准</w:t>
            </w:r>
          </w:p>
        </w:tc>
      </w:tr>
      <w:tr w:rsidR="001838A9">
        <w:trPr>
          <w:trHeight w:val="300"/>
          <w:jc w:val="center"/>
        </w:trPr>
        <w:tc>
          <w:tcPr>
            <w:tcW w:w="1393" w:type="pct"/>
            <w:vMerge/>
            <w:vAlign w:val="center"/>
          </w:tcPr>
          <w:p w:rsidR="001838A9" w:rsidRDefault="001838A9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b/>
                <w:sz w:val="24"/>
                <w:szCs w:val="24"/>
              </w:rPr>
            </w:pPr>
          </w:p>
        </w:tc>
        <w:tc>
          <w:tcPr>
            <w:tcW w:w="1253" w:type="pct"/>
            <w:vMerge/>
            <w:vAlign w:val="center"/>
          </w:tcPr>
          <w:p w:rsidR="001838A9" w:rsidRDefault="001838A9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b/>
                <w:szCs w:val="21"/>
              </w:rPr>
            </w:pPr>
          </w:p>
        </w:tc>
        <w:tc>
          <w:tcPr>
            <w:tcW w:w="1195" w:type="pct"/>
            <w:vAlign w:val="center"/>
          </w:tcPr>
          <w:p w:rsidR="001838A9" w:rsidRDefault="00E554AE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b/>
                <w:szCs w:val="21"/>
              </w:rPr>
            </w:pPr>
            <w:r>
              <w:rPr>
                <w:rFonts w:ascii="Times New Roman" w:eastAsia="仿宋_GB2312" w:hAnsi="Times New Roman" w:hint="eastAsia"/>
                <w:b/>
                <w:szCs w:val="21"/>
              </w:rPr>
              <w:t>下凹式绿地率</w:t>
            </w:r>
          </w:p>
        </w:tc>
        <w:tc>
          <w:tcPr>
            <w:tcW w:w="1159" w:type="pct"/>
            <w:vAlign w:val="center"/>
          </w:tcPr>
          <w:p w:rsidR="001838A9" w:rsidRDefault="00E554AE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b/>
                <w:szCs w:val="21"/>
              </w:rPr>
            </w:pPr>
            <w:r>
              <w:rPr>
                <w:rFonts w:ascii="Times New Roman" w:eastAsia="仿宋_GB2312" w:hAnsi="Times New Roman" w:hint="eastAsia"/>
                <w:b/>
                <w:szCs w:val="21"/>
              </w:rPr>
              <w:t>透水铺装率</w:t>
            </w:r>
          </w:p>
        </w:tc>
      </w:tr>
      <w:tr w:rsidR="001838A9">
        <w:trPr>
          <w:trHeight w:val="300"/>
          <w:jc w:val="center"/>
        </w:trPr>
        <w:tc>
          <w:tcPr>
            <w:tcW w:w="1393" w:type="pct"/>
            <w:vMerge w:val="restart"/>
            <w:vAlign w:val="center"/>
          </w:tcPr>
          <w:p w:rsidR="001838A9" w:rsidRDefault="00E554AE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居住用地</w:t>
            </w:r>
          </w:p>
        </w:tc>
        <w:tc>
          <w:tcPr>
            <w:tcW w:w="1253" w:type="pct"/>
            <w:vAlign w:val="center"/>
          </w:tcPr>
          <w:p w:rsidR="001838A9" w:rsidRDefault="00E554AE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新建、扩建</w:t>
            </w:r>
          </w:p>
        </w:tc>
        <w:tc>
          <w:tcPr>
            <w:tcW w:w="1195" w:type="pct"/>
            <w:vAlign w:val="center"/>
          </w:tcPr>
          <w:p w:rsidR="001838A9" w:rsidRDefault="00E554AE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≥</w:t>
            </w: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50%</w:t>
            </w:r>
          </w:p>
        </w:tc>
        <w:tc>
          <w:tcPr>
            <w:tcW w:w="1159" w:type="pct"/>
            <w:vAlign w:val="center"/>
          </w:tcPr>
          <w:p w:rsidR="001838A9" w:rsidRDefault="00E554AE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≥</w:t>
            </w: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60%</w:t>
            </w:r>
          </w:p>
        </w:tc>
      </w:tr>
      <w:tr w:rsidR="001838A9">
        <w:trPr>
          <w:trHeight w:val="300"/>
          <w:jc w:val="center"/>
        </w:trPr>
        <w:tc>
          <w:tcPr>
            <w:tcW w:w="1393" w:type="pct"/>
            <w:vMerge/>
            <w:vAlign w:val="center"/>
          </w:tcPr>
          <w:p w:rsidR="001838A9" w:rsidRDefault="001838A9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253" w:type="pct"/>
            <w:vAlign w:val="center"/>
          </w:tcPr>
          <w:p w:rsidR="001838A9" w:rsidRDefault="00E554AE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改建</w:t>
            </w:r>
          </w:p>
        </w:tc>
        <w:tc>
          <w:tcPr>
            <w:tcW w:w="1195" w:type="pct"/>
            <w:vAlign w:val="center"/>
          </w:tcPr>
          <w:p w:rsidR="001838A9" w:rsidRDefault="00E554AE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≥</w:t>
            </w: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35%</w:t>
            </w:r>
          </w:p>
        </w:tc>
        <w:tc>
          <w:tcPr>
            <w:tcW w:w="1159" w:type="pct"/>
            <w:vAlign w:val="center"/>
          </w:tcPr>
          <w:p w:rsidR="001838A9" w:rsidRDefault="00E554AE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≥</w:t>
            </w: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40%</w:t>
            </w:r>
          </w:p>
        </w:tc>
      </w:tr>
      <w:tr w:rsidR="001838A9">
        <w:trPr>
          <w:trHeight w:val="300"/>
          <w:jc w:val="center"/>
        </w:trPr>
        <w:tc>
          <w:tcPr>
            <w:tcW w:w="1393" w:type="pct"/>
            <w:vMerge w:val="restart"/>
            <w:vAlign w:val="center"/>
          </w:tcPr>
          <w:p w:rsidR="001838A9" w:rsidRDefault="00E554AE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公共管理与商业用地</w:t>
            </w:r>
          </w:p>
        </w:tc>
        <w:tc>
          <w:tcPr>
            <w:tcW w:w="1253" w:type="pct"/>
            <w:vAlign w:val="center"/>
          </w:tcPr>
          <w:p w:rsidR="001838A9" w:rsidRDefault="00E554AE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新建、扩建</w:t>
            </w:r>
          </w:p>
        </w:tc>
        <w:tc>
          <w:tcPr>
            <w:tcW w:w="1195" w:type="pct"/>
          </w:tcPr>
          <w:p w:rsidR="001838A9" w:rsidRDefault="00E554AE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≥</w:t>
            </w: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50%</w:t>
            </w:r>
          </w:p>
        </w:tc>
        <w:tc>
          <w:tcPr>
            <w:tcW w:w="1159" w:type="pct"/>
            <w:vAlign w:val="center"/>
          </w:tcPr>
          <w:p w:rsidR="001838A9" w:rsidRDefault="00E554AE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≥</w:t>
            </w: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60%</w:t>
            </w:r>
          </w:p>
        </w:tc>
      </w:tr>
      <w:tr w:rsidR="001838A9">
        <w:trPr>
          <w:trHeight w:val="300"/>
          <w:jc w:val="center"/>
        </w:trPr>
        <w:tc>
          <w:tcPr>
            <w:tcW w:w="1393" w:type="pct"/>
            <w:vMerge/>
            <w:vAlign w:val="center"/>
          </w:tcPr>
          <w:p w:rsidR="001838A9" w:rsidRDefault="001838A9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253" w:type="pct"/>
            <w:vAlign w:val="center"/>
          </w:tcPr>
          <w:p w:rsidR="001838A9" w:rsidRDefault="00E554AE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改建</w:t>
            </w:r>
          </w:p>
        </w:tc>
        <w:tc>
          <w:tcPr>
            <w:tcW w:w="1195" w:type="pct"/>
          </w:tcPr>
          <w:p w:rsidR="001838A9" w:rsidRDefault="00E554AE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≥</w:t>
            </w: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30%</w:t>
            </w:r>
          </w:p>
        </w:tc>
        <w:tc>
          <w:tcPr>
            <w:tcW w:w="1159" w:type="pct"/>
            <w:vAlign w:val="center"/>
          </w:tcPr>
          <w:p w:rsidR="001838A9" w:rsidRDefault="00E554AE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≥</w:t>
            </w: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40%</w:t>
            </w:r>
          </w:p>
        </w:tc>
      </w:tr>
      <w:tr w:rsidR="001838A9">
        <w:trPr>
          <w:trHeight w:val="300"/>
          <w:jc w:val="center"/>
        </w:trPr>
        <w:tc>
          <w:tcPr>
            <w:tcW w:w="1393" w:type="pct"/>
            <w:vMerge w:val="restart"/>
            <w:vAlign w:val="center"/>
          </w:tcPr>
          <w:p w:rsidR="001838A9" w:rsidRDefault="00E554AE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公用设施用地</w:t>
            </w:r>
          </w:p>
        </w:tc>
        <w:tc>
          <w:tcPr>
            <w:tcW w:w="1253" w:type="pct"/>
            <w:vAlign w:val="center"/>
          </w:tcPr>
          <w:p w:rsidR="001838A9" w:rsidRDefault="00E554AE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新建、扩建</w:t>
            </w:r>
          </w:p>
        </w:tc>
        <w:tc>
          <w:tcPr>
            <w:tcW w:w="1195" w:type="pct"/>
          </w:tcPr>
          <w:p w:rsidR="001838A9" w:rsidRDefault="00E554AE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≥</w:t>
            </w: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50%</w:t>
            </w:r>
          </w:p>
        </w:tc>
        <w:tc>
          <w:tcPr>
            <w:tcW w:w="1159" w:type="pct"/>
            <w:vAlign w:val="center"/>
          </w:tcPr>
          <w:p w:rsidR="001838A9" w:rsidRDefault="00E554AE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≥</w:t>
            </w: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50%</w:t>
            </w:r>
          </w:p>
        </w:tc>
      </w:tr>
      <w:tr w:rsidR="001838A9">
        <w:trPr>
          <w:trHeight w:val="300"/>
          <w:jc w:val="center"/>
        </w:trPr>
        <w:tc>
          <w:tcPr>
            <w:tcW w:w="1393" w:type="pct"/>
            <w:vMerge/>
            <w:vAlign w:val="center"/>
          </w:tcPr>
          <w:p w:rsidR="001838A9" w:rsidRDefault="001838A9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253" w:type="pct"/>
            <w:vAlign w:val="center"/>
          </w:tcPr>
          <w:p w:rsidR="001838A9" w:rsidRDefault="00E554AE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改建</w:t>
            </w:r>
          </w:p>
        </w:tc>
        <w:tc>
          <w:tcPr>
            <w:tcW w:w="1195" w:type="pct"/>
          </w:tcPr>
          <w:p w:rsidR="001838A9" w:rsidRDefault="00E554AE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≥</w:t>
            </w: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20%</w:t>
            </w:r>
          </w:p>
        </w:tc>
        <w:tc>
          <w:tcPr>
            <w:tcW w:w="1159" w:type="pct"/>
            <w:vAlign w:val="center"/>
          </w:tcPr>
          <w:p w:rsidR="001838A9" w:rsidRDefault="00E554AE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≥</w:t>
            </w: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30%</w:t>
            </w:r>
          </w:p>
        </w:tc>
      </w:tr>
      <w:tr w:rsidR="001838A9">
        <w:trPr>
          <w:trHeight w:val="300"/>
          <w:jc w:val="center"/>
        </w:trPr>
        <w:tc>
          <w:tcPr>
            <w:tcW w:w="1393" w:type="pct"/>
            <w:vMerge w:val="restart"/>
            <w:vAlign w:val="center"/>
          </w:tcPr>
          <w:p w:rsidR="001838A9" w:rsidRDefault="00E554AE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工业和物流仓储用地</w:t>
            </w:r>
          </w:p>
        </w:tc>
        <w:tc>
          <w:tcPr>
            <w:tcW w:w="1253" w:type="pct"/>
            <w:vAlign w:val="center"/>
          </w:tcPr>
          <w:p w:rsidR="001838A9" w:rsidRDefault="00E554AE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新建、扩建</w:t>
            </w:r>
          </w:p>
        </w:tc>
        <w:tc>
          <w:tcPr>
            <w:tcW w:w="1195" w:type="pct"/>
            <w:vAlign w:val="center"/>
          </w:tcPr>
          <w:p w:rsidR="001838A9" w:rsidRDefault="00E554AE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-</w:t>
            </w:r>
          </w:p>
        </w:tc>
        <w:tc>
          <w:tcPr>
            <w:tcW w:w="1159" w:type="pct"/>
            <w:vAlign w:val="center"/>
          </w:tcPr>
          <w:p w:rsidR="001838A9" w:rsidRDefault="00E554AE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≥</w:t>
            </w: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50%</w:t>
            </w:r>
          </w:p>
        </w:tc>
      </w:tr>
      <w:tr w:rsidR="001838A9">
        <w:trPr>
          <w:trHeight w:val="300"/>
          <w:jc w:val="center"/>
        </w:trPr>
        <w:tc>
          <w:tcPr>
            <w:tcW w:w="1393" w:type="pct"/>
            <w:vMerge/>
            <w:vAlign w:val="center"/>
          </w:tcPr>
          <w:p w:rsidR="001838A9" w:rsidRDefault="001838A9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253" w:type="pct"/>
            <w:vAlign w:val="center"/>
          </w:tcPr>
          <w:p w:rsidR="001838A9" w:rsidRDefault="00E554AE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改建</w:t>
            </w:r>
          </w:p>
        </w:tc>
        <w:tc>
          <w:tcPr>
            <w:tcW w:w="1195" w:type="pct"/>
            <w:vAlign w:val="center"/>
          </w:tcPr>
          <w:p w:rsidR="001838A9" w:rsidRDefault="00E554AE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-</w:t>
            </w:r>
          </w:p>
        </w:tc>
        <w:tc>
          <w:tcPr>
            <w:tcW w:w="1159" w:type="pct"/>
            <w:vAlign w:val="center"/>
          </w:tcPr>
          <w:p w:rsidR="001838A9" w:rsidRDefault="00E554AE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≥</w:t>
            </w: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30%</w:t>
            </w:r>
          </w:p>
        </w:tc>
      </w:tr>
      <w:tr w:rsidR="001838A9">
        <w:trPr>
          <w:trHeight w:val="300"/>
          <w:jc w:val="center"/>
        </w:trPr>
        <w:tc>
          <w:tcPr>
            <w:tcW w:w="1393" w:type="pct"/>
            <w:vMerge w:val="restart"/>
            <w:vAlign w:val="center"/>
          </w:tcPr>
          <w:p w:rsidR="001838A9" w:rsidRDefault="00E554AE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道路（有绿化带）</w:t>
            </w:r>
          </w:p>
        </w:tc>
        <w:tc>
          <w:tcPr>
            <w:tcW w:w="1253" w:type="pct"/>
            <w:vAlign w:val="center"/>
          </w:tcPr>
          <w:p w:rsidR="001838A9" w:rsidRDefault="00E554AE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新建</w:t>
            </w:r>
          </w:p>
        </w:tc>
        <w:tc>
          <w:tcPr>
            <w:tcW w:w="1195" w:type="pct"/>
            <w:vAlign w:val="center"/>
          </w:tcPr>
          <w:p w:rsidR="001838A9" w:rsidRDefault="00E554AE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≥</w:t>
            </w: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40%</w:t>
            </w:r>
          </w:p>
        </w:tc>
        <w:tc>
          <w:tcPr>
            <w:tcW w:w="1159" w:type="pct"/>
            <w:vAlign w:val="center"/>
          </w:tcPr>
          <w:p w:rsidR="001838A9" w:rsidRDefault="00E554AE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人行道</w:t>
            </w: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%</w:t>
            </w: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≥</w:t>
            </w: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90%</w:t>
            </w:r>
          </w:p>
        </w:tc>
      </w:tr>
      <w:tr w:rsidR="001838A9">
        <w:trPr>
          <w:trHeight w:val="300"/>
          <w:jc w:val="center"/>
        </w:trPr>
        <w:tc>
          <w:tcPr>
            <w:tcW w:w="1393" w:type="pct"/>
            <w:vMerge/>
            <w:vAlign w:val="center"/>
          </w:tcPr>
          <w:p w:rsidR="001838A9" w:rsidRDefault="001838A9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253" w:type="pct"/>
            <w:vAlign w:val="center"/>
          </w:tcPr>
          <w:p w:rsidR="001838A9" w:rsidRDefault="00E554AE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改扩建</w:t>
            </w:r>
          </w:p>
        </w:tc>
        <w:tc>
          <w:tcPr>
            <w:tcW w:w="1195" w:type="pct"/>
            <w:vAlign w:val="center"/>
          </w:tcPr>
          <w:p w:rsidR="001838A9" w:rsidRDefault="00E554AE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≥</w:t>
            </w: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25%</w:t>
            </w:r>
          </w:p>
        </w:tc>
        <w:tc>
          <w:tcPr>
            <w:tcW w:w="1159" w:type="pct"/>
            <w:vAlign w:val="center"/>
          </w:tcPr>
          <w:p w:rsidR="001838A9" w:rsidRDefault="00E554AE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人行道</w:t>
            </w: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%</w:t>
            </w: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≥</w:t>
            </w: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50%</w:t>
            </w:r>
          </w:p>
        </w:tc>
      </w:tr>
      <w:tr w:rsidR="001838A9">
        <w:trPr>
          <w:trHeight w:val="300"/>
          <w:jc w:val="center"/>
        </w:trPr>
        <w:tc>
          <w:tcPr>
            <w:tcW w:w="1393" w:type="pct"/>
            <w:vAlign w:val="center"/>
          </w:tcPr>
          <w:p w:rsidR="001838A9" w:rsidRDefault="00E554AE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公共停车场、广场</w:t>
            </w:r>
          </w:p>
        </w:tc>
        <w:tc>
          <w:tcPr>
            <w:tcW w:w="1253" w:type="pct"/>
            <w:vAlign w:val="center"/>
          </w:tcPr>
          <w:p w:rsidR="001838A9" w:rsidRDefault="00E554AE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-</w:t>
            </w:r>
          </w:p>
        </w:tc>
        <w:tc>
          <w:tcPr>
            <w:tcW w:w="1195" w:type="pct"/>
            <w:vAlign w:val="center"/>
          </w:tcPr>
          <w:p w:rsidR="001838A9" w:rsidRDefault="00E554AE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-</w:t>
            </w:r>
          </w:p>
        </w:tc>
        <w:tc>
          <w:tcPr>
            <w:tcW w:w="1159" w:type="pct"/>
            <w:vAlign w:val="center"/>
          </w:tcPr>
          <w:p w:rsidR="001838A9" w:rsidRDefault="00E554AE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≥</w:t>
            </w: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40%</w:t>
            </w:r>
          </w:p>
        </w:tc>
      </w:tr>
      <w:tr w:rsidR="001838A9">
        <w:trPr>
          <w:trHeight w:val="300"/>
          <w:jc w:val="center"/>
        </w:trPr>
        <w:tc>
          <w:tcPr>
            <w:tcW w:w="1393" w:type="pct"/>
            <w:vMerge w:val="restart"/>
            <w:vAlign w:val="center"/>
          </w:tcPr>
          <w:p w:rsidR="001838A9" w:rsidRDefault="00E554AE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其他用地</w:t>
            </w:r>
          </w:p>
        </w:tc>
        <w:tc>
          <w:tcPr>
            <w:tcW w:w="1253" w:type="pct"/>
            <w:vAlign w:val="center"/>
          </w:tcPr>
          <w:p w:rsidR="001838A9" w:rsidRDefault="00E554AE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新建、扩建</w:t>
            </w:r>
          </w:p>
        </w:tc>
        <w:tc>
          <w:tcPr>
            <w:tcW w:w="1195" w:type="pct"/>
            <w:vAlign w:val="center"/>
          </w:tcPr>
          <w:p w:rsidR="001838A9" w:rsidRDefault="00E554AE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-</w:t>
            </w:r>
          </w:p>
        </w:tc>
        <w:tc>
          <w:tcPr>
            <w:tcW w:w="1159" w:type="pct"/>
            <w:vAlign w:val="center"/>
          </w:tcPr>
          <w:p w:rsidR="001838A9" w:rsidRDefault="00E554AE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-</w:t>
            </w:r>
          </w:p>
        </w:tc>
      </w:tr>
      <w:tr w:rsidR="001838A9">
        <w:trPr>
          <w:trHeight w:val="300"/>
          <w:jc w:val="center"/>
        </w:trPr>
        <w:tc>
          <w:tcPr>
            <w:tcW w:w="1393" w:type="pct"/>
            <w:vMerge/>
            <w:vAlign w:val="center"/>
          </w:tcPr>
          <w:p w:rsidR="001838A9" w:rsidRDefault="001838A9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253" w:type="pct"/>
            <w:vAlign w:val="center"/>
          </w:tcPr>
          <w:p w:rsidR="001838A9" w:rsidRDefault="00E554AE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改建</w:t>
            </w:r>
          </w:p>
        </w:tc>
        <w:tc>
          <w:tcPr>
            <w:tcW w:w="1195" w:type="pct"/>
            <w:vAlign w:val="center"/>
          </w:tcPr>
          <w:p w:rsidR="001838A9" w:rsidRDefault="00E554AE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-</w:t>
            </w:r>
          </w:p>
        </w:tc>
        <w:tc>
          <w:tcPr>
            <w:tcW w:w="1159" w:type="pct"/>
            <w:vAlign w:val="center"/>
          </w:tcPr>
          <w:p w:rsidR="001838A9" w:rsidRDefault="00E554AE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-</w:t>
            </w:r>
          </w:p>
        </w:tc>
      </w:tr>
    </w:tbl>
    <w:p w:rsidR="001838A9" w:rsidRDefault="00E554AE">
      <w:pPr>
        <w:spacing w:line="360" w:lineRule="auto"/>
        <w:rPr>
          <w:rFonts w:ascii="Times New Roman" w:eastAsia="仿宋_GB2312" w:hAnsi="Times New Roman"/>
          <w:sz w:val="24"/>
          <w:szCs w:val="24"/>
        </w:rPr>
      </w:pPr>
      <w:r>
        <w:rPr>
          <w:rFonts w:ascii="Times New Roman" w:eastAsia="仿宋_GB2312" w:hAnsi="Times New Roman"/>
          <w:sz w:val="24"/>
          <w:szCs w:val="24"/>
        </w:rPr>
        <w:t>注：</w:t>
      </w:r>
      <w:r>
        <w:rPr>
          <w:rFonts w:ascii="Times New Roman" w:eastAsia="仿宋_GB2312" w:hAnsi="Times New Roman"/>
          <w:sz w:val="24"/>
          <w:szCs w:val="24"/>
        </w:rPr>
        <w:t>1</w:t>
      </w:r>
      <w:r>
        <w:rPr>
          <w:rFonts w:ascii="Times New Roman" w:eastAsia="仿宋_GB2312" w:hAnsi="Times New Roman" w:hint="eastAsia"/>
          <w:sz w:val="24"/>
          <w:szCs w:val="24"/>
        </w:rPr>
        <w:t>.</w:t>
      </w:r>
      <w:r>
        <w:rPr>
          <w:rFonts w:ascii="Times New Roman" w:eastAsia="仿宋_GB2312" w:hAnsi="Times New Roman"/>
          <w:sz w:val="24"/>
          <w:szCs w:val="24"/>
        </w:rPr>
        <w:t>项目按规划用地</w:t>
      </w:r>
      <w:r>
        <w:rPr>
          <w:rFonts w:ascii="Times New Roman" w:eastAsia="仿宋_GB2312" w:hAnsi="Times New Roman" w:hint="eastAsia"/>
          <w:sz w:val="24"/>
          <w:szCs w:val="24"/>
        </w:rPr>
        <w:t>类型</w:t>
      </w:r>
      <w:r>
        <w:rPr>
          <w:rFonts w:ascii="Times New Roman" w:eastAsia="仿宋_GB2312" w:hAnsi="Times New Roman"/>
          <w:sz w:val="24"/>
          <w:szCs w:val="24"/>
        </w:rPr>
        <w:t>分类。</w:t>
      </w:r>
    </w:p>
    <w:p w:rsidR="001838A9" w:rsidRDefault="00E554AE">
      <w:pPr>
        <w:spacing w:line="360" w:lineRule="auto"/>
        <w:ind w:firstLineChars="200" w:firstLine="480"/>
        <w:rPr>
          <w:rFonts w:ascii="Times New Roman" w:eastAsia="仿宋_GB2312" w:hAnsi="Times New Roman"/>
          <w:sz w:val="24"/>
          <w:szCs w:val="24"/>
        </w:rPr>
      </w:pPr>
      <w:r>
        <w:rPr>
          <w:rFonts w:ascii="Times New Roman" w:eastAsia="仿宋_GB2312" w:hAnsi="Times New Roman"/>
          <w:sz w:val="24"/>
          <w:szCs w:val="24"/>
        </w:rPr>
        <w:t>2</w:t>
      </w:r>
      <w:r>
        <w:rPr>
          <w:rFonts w:ascii="Times New Roman" w:eastAsia="仿宋_GB2312" w:hAnsi="Times New Roman" w:hint="eastAsia"/>
          <w:sz w:val="24"/>
          <w:szCs w:val="24"/>
        </w:rPr>
        <w:t>.</w:t>
      </w:r>
      <w:r>
        <w:rPr>
          <w:rFonts w:ascii="Times New Roman" w:eastAsia="仿宋_GB2312" w:hAnsi="Times New Roman"/>
          <w:sz w:val="24"/>
          <w:szCs w:val="24"/>
        </w:rPr>
        <w:t>“—”</w:t>
      </w:r>
      <w:r>
        <w:rPr>
          <w:rFonts w:ascii="Times New Roman" w:eastAsia="仿宋_GB2312" w:hAnsi="Times New Roman"/>
          <w:sz w:val="24"/>
          <w:szCs w:val="24"/>
        </w:rPr>
        <w:t>表示不作硬性指标要求，</w:t>
      </w:r>
      <w:r>
        <w:rPr>
          <w:rFonts w:ascii="Times New Roman" w:eastAsia="仿宋_GB2312" w:hAnsi="Times New Roman" w:hint="eastAsia"/>
          <w:sz w:val="24"/>
          <w:szCs w:val="24"/>
        </w:rPr>
        <w:t>应当</w:t>
      </w:r>
      <w:r>
        <w:rPr>
          <w:rFonts w:ascii="Times New Roman" w:eastAsia="仿宋_GB2312" w:hAnsi="Times New Roman"/>
          <w:sz w:val="24"/>
          <w:szCs w:val="24"/>
        </w:rPr>
        <w:t>充分利用</w:t>
      </w:r>
      <w:r>
        <w:rPr>
          <w:rFonts w:ascii="Times New Roman" w:eastAsia="仿宋_GB2312" w:hAnsi="Times New Roman" w:hint="eastAsia"/>
          <w:sz w:val="24"/>
          <w:szCs w:val="24"/>
        </w:rPr>
        <w:t>用地</w:t>
      </w:r>
      <w:r>
        <w:rPr>
          <w:rFonts w:ascii="Times New Roman" w:eastAsia="仿宋_GB2312" w:hAnsi="Times New Roman"/>
          <w:sz w:val="24"/>
          <w:szCs w:val="24"/>
        </w:rPr>
        <w:t>空间</w:t>
      </w:r>
      <w:r>
        <w:rPr>
          <w:rFonts w:ascii="Times New Roman" w:eastAsia="仿宋_GB2312" w:hAnsi="Times New Roman" w:hint="eastAsia"/>
          <w:sz w:val="24"/>
          <w:szCs w:val="24"/>
        </w:rPr>
        <w:t>条件</w:t>
      </w:r>
      <w:r>
        <w:rPr>
          <w:rFonts w:ascii="Times New Roman" w:eastAsia="仿宋_GB2312" w:hAnsi="Times New Roman"/>
          <w:sz w:val="24"/>
          <w:szCs w:val="24"/>
        </w:rPr>
        <w:t>实施源头减排。</w:t>
      </w:r>
    </w:p>
    <w:p w:rsidR="001838A9" w:rsidRDefault="00E554AE">
      <w:pPr>
        <w:spacing w:line="360" w:lineRule="auto"/>
        <w:ind w:firstLineChars="200" w:firstLine="480"/>
        <w:rPr>
          <w:rFonts w:ascii="Times New Roman" w:eastAsia="仿宋_GB2312" w:hAnsi="Times New Roman"/>
          <w:sz w:val="24"/>
          <w:szCs w:val="24"/>
        </w:rPr>
      </w:pPr>
      <w:r>
        <w:rPr>
          <w:rFonts w:ascii="Times New Roman" w:eastAsia="仿宋_GB2312" w:hAnsi="Times New Roman" w:hint="eastAsia"/>
          <w:sz w:val="24"/>
          <w:szCs w:val="24"/>
        </w:rPr>
        <w:t>3.</w:t>
      </w:r>
      <w:r>
        <w:rPr>
          <w:rFonts w:ascii="Times New Roman" w:eastAsia="仿宋_GB2312" w:hAnsi="Times New Roman" w:hint="eastAsia"/>
          <w:sz w:val="24"/>
          <w:szCs w:val="24"/>
        </w:rPr>
        <w:t>指标参考来源《内蒙古自治区海绵城市建设技术导则》、《呼和浩特市海绵城市专项规划（</w:t>
      </w:r>
      <w:r>
        <w:rPr>
          <w:rFonts w:ascii="Times New Roman" w:eastAsia="仿宋_GB2312" w:hAnsi="Times New Roman" w:hint="eastAsia"/>
          <w:sz w:val="24"/>
          <w:szCs w:val="24"/>
        </w:rPr>
        <w:t>2022-2035</w:t>
      </w:r>
      <w:r>
        <w:rPr>
          <w:rFonts w:ascii="Times New Roman" w:eastAsia="仿宋_GB2312" w:hAnsi="Times New Roman" w:hint="eastAsia"/>
          <w:sz w:val="24"/>
          <w:szCs w:val="24"/>
        </w:rPr>
        <w:t>）》。</w:t>
      </w:r>
    </w:p>
    <w:p w:rsidR="001838A9" w:rsidRDefault="00E554AE">
      <w:pPr>
        <w:spacing w:line="600" w:lineRule="exact"/>
        <w:ind w:firstLineChars="200" w:firstLine="640"/>
        <w:rPr>
          <w:rFonts w:ascii="CESI黑体-GB2312" w:eastAsia="CESI黑体-GB2312" w:hAnsi="CESI黑体-GB2312" w:cs="CESI黑体-GB2312"/>
          <w:sz w:val="32"/>
          <w:szCs w:val="32"/>
        </w:rPr>
      </w:pPr>
      <w:r>
        <w:rPr>
          <w:rFonts w:ascii="CESI黑体-GB2312" w:eastAsia="CESI黑体-GB2312" w:hAnsi="CESI黑体-GB2312" w:cs="CESI黑体-GB2312" w:hint="eastAsia"/>
          <w:sz w:val="32"/>
          <w:szCs w:val="32"/>
        </w:rPr>
        <w:t>三、雨水管渠标准</w:t>
      </w:r>
    </w:p>
    <w:p w:rsidR="001838A9" w:rsidRDefault="00E554AE">
      <w:pPr>
        <w:adjustRightInd w:val="0"/>
        <w:snapToGrid w:val="0"/>
        <w:spacing w:line="60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雨水管网建设重现期规划范围核心区</w:t>
      </w:r>
      <w:r>
        <w:rPr>
          <w:rFonts w:ascii="仿宋_GB2312" w:eastAsia="仿宋_GB2312" w:hAnsi="仿宋_GB2312" w:cs="仿宋_GB2312" w:hint="eastAsia"/>
          <w:sz w:val="32"/>
          <w:szCs w:val="32"/>
        </w:rPr>
        <w:t>3~5</w:t>
      </w:r>
      <w:r>
        <w:rPr>
          <w:rFonts w:ascii="Times New Roman" w:eastAsia="仿宋_GB2312" w:hAnsi="Times New Roman"/>
          <w:sz w:val="32"/>
          <w:szCs w:val="32"/>
        </w:rPr>
        <w:t>年</w:t>
      </w:r>
      <w:r>
        <w:rPr>
          <w:rFonts w:ascii="Times New Roman" w:eastAsia="仿宋_GB2312" w:hAnsi="Times New Roman" w:hint="eastAsia"/>
          <w:sz w:val="32"/>
          <w:szCs w:val="32"/>
        </w:rPr>
        <w:t>一遇</w:t>
      </w:r>
      <w:proofErr w:type="gramStart"/>
      <w:r>
        <w:rPr>
          <w:rFonts w:ascii="Times New Roman" w:eastAsia="仿宋_GB2312" w:hAnsi="Times New Roman" w:hint="eastAsia"/>
          <w:sz w:val="32"/>
          <w:szCs w:val="32"/>
        </w:rPr>
        <w:t>，</w:t>
      </w:r>
      <w:proofErr w:type="gramEnd"/>
      <w:r>
        <w:rPr>
          <w:rFonts w:ascii="Times New Roman" w:eastAsia="仿宋_GB2312" w:hAnsi="Times New Roman"/>
          <w:sz w:val="32"/>
          <w:szCs w:val="32"/>
        </w:rPr>
        <w:t>非核心区</w:t>
      </w:r>
      <w:r>
        <w:rPr>
          <w:rFonts w:ascii="仿宋_GB2312" w:eastAsia="仿宋_GB2312" w:hAnsi="仿宋_GB2312" w:cs="仿宋_GB2312" w:hint="eastAsia"/>
          <w:sz w:val="32"/>
          <w:szCs w:val="32"/>
        </w:rPr>
        <w:t>2~3</w:t>
      </w:r>
      <w:r>
        <w:rPr>
          <w:rFonts w:ascii="Times New Roman" w:eastAsia="仿宋_GB2312" w:hAnsi="Times New Roman"/>
          <w:sz w:val="32"/>
          <w:szCs w:val="32"/>
        </w:rPr>
        <w:t>年</w:t>
      </w:r>
      <w:r>
        <w:rPr>
          <w:rFonts w:ascii="Times New Roman" w:eastAsia="仿宋_GB2312" w:hAnsi="Times New Roman" w:hint="eastAsia"/>
          <w:sz w:val="32"/>
          <w:szCs w:val="32"/>
        </w:rPr>
        <w:t>一遇</w:t>
      </w:r>
      <w:proofErr w:type="gramStart"/>
      <w:r>
        <w:rPr>
          <w:rFonts w:ascii="Times New Roman" w:eastAsia="仿宋_GB2312" w:hAnsi="Times New Roman"/>
          <w:sz w:val="32"/>
          <w:szCs w:val="32"/>
        </w:rPr>
        <w:t>。</w:t>
      </w:r>
      <w:proofErr w:type="gramEnd"/>
    </w:p>
    <w:p w:rsidR="001838A9" w:rsidRDefault="00E554AE">
      <w:pPr>
        <w:spacing w:line="600" w:lineRule="exact"/>
        <w:ind w:firstLineChars="200" w:firstLine="640"/>
        <w:rPr>
          <w:rFonts w:ascii="CESI黑体-GB2312" w:eastAsia="CESI黑体-GB2312" w:hAnsi="CESI黑体-GB2312" w:cs="CESI黑体-GB2312"/>
          <w:sz w:val="32"/>
          <w:szCs w:val="32"/>
        </w:rPr>
      </w:pPr>
      <w:r>
        <w:rPr>
          <w:rFonts w:ascii="CESI黑体-GB2312" w:eastAsia="CESI黑体-GB2312" w:hAnsi="CESI黑体-GB2312" w:cs="CESI黑体-GB2312" w:hint="eastAsia"/>
          <w:sz w:val="32"/>
          <w:szCs w:val="32"/>
        </w:rPr>
        <w:t>四、内涝防治标准</w:t>
      </w:r>
    </w:p>
    <w:p w:rsidR="001838A9" w:rsidRDefault="00E554AE">
      <w:pPr>
        <w:adjustRightInd w:val="0"/>
        <w:snapToGrid w:val="0"/>
        <w:spacing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城市内涝防治标准为50年一遇设计暴雨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不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成灾，</w:t>
      </w:r>
      <w:bookmarkStart w:id="5" w:name="_Hlk109122203"/>
      <w:r>
        <w:rPr>
          <w:rFonts w:ascii="仿宋_GB2312" w:eastAsia="仿宋_GB2312" w:hAnsi="仿宋_GB2312" w:cs="仿宋_GB2312" w:hint="eastAsia"/>
          <w:sz w:val="32"/>
          <w:szCs w:val="32"/>
        </w:rPr>
        <w:t>对应</w:t>
      </w: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降雨量140mm/24小时；</w:t>
      </w:r>
      <w:bookmarkEnd w:id="5"/>
      <w:r>
        <w:rPr>
          <w:rFonts w:ascii="仿宋_GB2312" w:eastAsia="仿宋_GB2312" w:hAnsi="仿宋_GB2312" w:cs="仿宋_GB2312" w:hint="eastAsia"/>
          <w:sz w:val="32"/>
          <w:szCs w:val="32"/>
        </w:rPr>
        <w:t>地面积水深度不超过0.15m，积水时间不超过2小时。</w:t>
      </w:r>
    </w:p>
    <w:p w:rsidR="001838A9" w:rsidRDefault="00E554AE">
      <w:pPr>
        <w:spacing w:line="600" w:lineRule="exact"/>
        <w:ind w:firstLineChars="200" w:firstLine="640"/>
        <w:rPr>
          <w:rFonts w:ascii="CESI黑体-GB2312" w:eastAsia="CESI黑体-GB2312" w:hAnsi="CESI黑体-GB2312" w:cs="CESI黑体-GB2312"/>
          <w:sz w:val="32"/>
          <w:szCs w:val="32"/>
        </w:rPr>
      </w:pPr>
      <w:r>
        <w:rPr>
          <w:rFonts w:ascii="CESI黑体-GB2312" w:eastAsia="CESI黑体-GB2312" w:hAnsi="CESI黑体-GB2312" w:cs="CESI黑体-GB2312" w:hint="eastAsia"/>
          <w:sz w:val="32"/>
          <w:szCs w:val="32"/>
        </w:rPr>
        <w:t>五、可透水地面面积比例</w:t>
      </w:r>
    </w:p>
    <w:p w:rsidR="001838A9" w:rsidRDefault="00E554AE">
      <w:pPr>
        <w:adjustRightInd w:val="0"/>
        <w:snapToGrid w:val="0"/>
        <w:spacing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新建城区硬化地面中，可透水地面面积比例不宜低于40%。</w:t>
      </w:r>
      <w:bookmarkEnd w:id="0"/>
      <w:bookmarkEnd w:id="1"/>
      <w:bookmarkEnd w:id="2"/>
      <w:bookmarkEnd w:id="3"/>
    </w:p>
    <w:p w:rsidR="001838A9" w:rsidRPr="004E30E1" w:rsidRDefault="001838A9" w:rsidP="004E30E1">
      <w:pPr>
        <w:adjustRightInd w:val="0"/>
        <w:snapToGrid w:val="0"/>
        <w:spacing w:line="600" w:lineRule="exact"/>
        <w:rPr>
          <w:rFonts w:ascii="Times New Roman" w:eastAsia="仿宋_GB2312" w:hAnsi="Times New Roman" w:hint="eastAsia"/>
          <w:sz w:val="24"/>
          <w:szCs w:val="24"/>
        </w:rPr>
        <w:sectPr w:rsidR="001838A9" w:rsidRPr="004E30E1">
          <w:footerReference w:type="default" r:id="rId6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bookmarkStart w:id="6" w:name="_GoBack"/>
      <w:bookmarkEnd w:id="6"/>
    </w:p>
    <w:p w:rsidR="001838A9" w:rsidRDefault="001838A9" w:rsidP="004E30E1">
      <w:pPr>
        <w:pStyle w:val="aa"/>
        <w:jc w:val="left"/>
        <w:rPr>
          <w:rFonts w:eastAsia="仿宋_GB2312" w:hint="eastAsia"/>
          <w:sz w:val="32"/>
          <w:szCs w:val="32"/>
        </w:rPr>
      </w:pPr>
    </w:p>
    <w:sectPr w:rsidR="001838A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14E7" w:rsidRDefault="00A014E7">
      <w:r>
        <w:separator/>
      </w:r>
    </w:p>
  </w:endnote>
  <w:endnote w:type="continuationSeparator" w:id="0">
    <w:p w:rsidR="00A014E7" w:rsidRDefault="00A014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ESI黑体-GB2312">
    <w:altName w:val="黑体"/>
    <w:charset w:val="86"/>
    <w:family w:val="auto"/>
    <w:pitch w:val="default"/>
    <w:sig w:usb0="800002BF" w:usb1="184F6CF8" w:usb2="00000012" w:usb3="00000000" w:csb0="0004000F" w:csb1="00000000"/>
  </w:font>
  <w:font w:name="CESI小标宋-GB2312">
    <w:altName w:val="宋体"/>
    <w:charset w:val="86"/>
    <w:family w:val="auto"/>
    <w:pitch w:val="default"/>
    <w:sig w:usb0="800002AF" w:usb1="084F6CF8" w:usb2="00000010" w:usb3="00000000" w:csb0="0004000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38251014"/>
    </w:sdtPr>
    <w:sdtEndPr/>
    <w:sdtContent>
      <w:sdt>
        <w:sdtPr>
          <w:id w:val="-1831974364"/>
        </w:sdtPr>
        <w:sdtEndPr/>
        <w:sdtContent>
          <w:p w:rsidR="001838A9" w:rsidRDefault="00E554AE">
            <w:pPr>
              <w:pStyle w:val="a3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4E30E1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4E30E1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1838A9" w:rsidRDefault="001838A9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14E7" w:rsidRDefault="00A014E7">
      <w:r>
        <w:separator/>
      </w:r>
    </w:p>
  </w:footnote>
  <w:footnote w:type="continuationSeparator" w:id="0">
    <w:p w:rsidR="00A014E7" w:rsidRDefault="00A014E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WM5NzExNWI3ZTY1YWFjMWI4Y2E4ODJiMTk5NzcyZmYifQ=="/>
  </w:docVars>
  <w:rsids>
    <w:rsidRoot w:val="00B168F4"/>
    <w:rsid w:val="89636A68"/>
    <w:rsid w:val="8FFF864F"/>
    <w:rsid w:val="97BF9827"/>
    <w:rsid w:val="98FF7BFF"/>
    <w:rsid w:val="9BBE6A17"/>
    <w:rsid w:val="9D9E9ABA"/>
    <w:rsid w:val="9DFBA953"/>
    <w:rsid w:val="9DFEF0EA"/>
    <w:rsid w:val="9F361DF4"/>
    <w:rsid w:val="9F9AAFEA"/>
    <w:rsid w:val="9FE47273"/>
    <w:rsid w:val="A3FF44C8"/>
    <w:rsid w:val="A6FF8BA7"/>
    <w:rsid w:val="A77FAE52"/>
    <w:rsid w:val="AAF7E454"/>
    <w:rsid w:val="AFDF951F"/>
    <w:rsid w:val="B3F84A17"/>
    <w:rsid w:val="B5DACF04"/>
    <w:rsid w:val="B77E2BA0"/>
    <w:rsid w:val="B7AB48D1"/>
    <w:rsid w:val="B7FDACAE"/>
    <w:rsid w:val="B9DD5B45"/>
    <w:rsid w:val="BA77E7B0"/>
    <w:rsid w:val="BAFB8AB7"/>
    <w:rsid w:val="BEEF2AA3"/>
    <w:rsid w:val="BEFC5535"/>
    <w:rsid w:val="BF9E2DF8"/>
    <w:rsid w:val="BFDB8793"/>
    <w:rsid w:val="BFDE4584"/>
    <w:rsid w:val="BFEB78DF"/>
    <w:rsid w:val="BFF7BB2C"/>
    <w:rsid w:val="BFFEE23E"/>
    <w:rsid w:val="BFFF98B5"/>
    <w:rsid w:val="BFFFB4C6"/>
    <w:rsid w:val="BFFFC57A"/>
    <w:rsid w:val="C7DEE7CB"/>
    <w:rsid w:val="C7FFE4B1"/>
    <w:rsid w:val="CB7517BE"/>
    <w:rsid w:val="CEE9068C"/>
    <w:rsid w:val="CFBF8426"/>
    <w:rsid w:val="CFFA406C"/>
    <w:rsid w:val="D55F0FB4"/>
    <w:rsid w:val="D5F6723C"/>
    <w:rsid w:val="D5FF986C"/>
    <w:rsid w:val="D66D4E50"/>
    <w:rsid w:val="D764E778"/>
    <w:rsid w:val="DCBF8CEF"/>
    <w:rsid w:val="DCFDCE85"/>
    <w:rsid w:val="DDA7E713"/>
    <w:rsid w:val="DDFA327E"/>
    <w:rsid w:val="DDFFA43E"/>
    <w:rsid w:val="DE7F6562"/>
    <w:rsid w:val="DE9A1A3B"/>
    <w:rsid w:val="DEDF91F1"/>
    <w:rsid w:val="DF9F2A8F"/>
    <w:rsid w:val="DFA61D5E"/>
    <w:rsid w:val="DFBD47A4"/>
    <w:rsid w:val="DFD72605"/>
    <w:rsid w:val="DFEFBBAD"/>
    <w:rsid w:val="DFFD3F5B"/>
    <w:rsid w:val="DFFF7FDC"/>
    <w:rsid w:val="E13F9C96"/>
    <w:rsid w:val="E37D85EB"/>
    <w:rsid w:val="E7AC9DF5"/>
    <w:rsid w:val="E7B79E27"/>
    <w:rsid w:val="E7FFD31F"/>
    <w:rsid w:val="E9FD89F0"/>
    <w:rsid w:val="EBDEB7E6"/>
    <w:rsid w:val="EBFA6605"/>
    <w:rsid w:val="EBFF15D8"/>
    <w:rsid w:val="EEEE079F"/>
    <w:rsid w:val="EEFEBCB7"/>
    <w:rsid w:val="EF7D3677"/>
    <w:rsid w:val="EFCBF47A"/>
    <w:rsid w:val="EFCFB114"/>
    <w:rsid w:val="EFD7D876"/>
    <w:rsid w:val="EFED1719"/>
    <w:rsid w:val="EFFD205A"/>
    <w:rsid w:val="F2FF8F8D"/>
    <w:rsid w:val="F35E6C49"/>
    <w:rsid w:val="F36F671C"/>
    <w:rsid w:val="F4CBA1A5"/>
    <w:rsid w:val="F4F390EE"/>
    <w:rsid w:val="F5B67DB8"/>
    <w:rsid w:val="F5CFDC60"/>
    <w:rsid w:val="F5D41EB0"/>
    <w:rsid w:val="F5DEDDD3"/>
    <w:rsid w:val="F6ED2DC5"/>
    <w:rsid w:val="F6FE7AEC"/>
    <w:rsid w:val="F6FF1E2A"/>
    <w:rsid w:val="F7D67B7F"/>
    <w:rsid w:val="F7DF4EC5"/>
    <w:rsid w:val="F7EE07A6"/>
    <w:rsid w:val="F7FA636E"/>
    <w:rsid w:val="F7FD54DB"/>
    <w:rsid w:val="F85FFDAB"/>
    <w:rsid w:val="F97CD60F"/>
    <w:rsid w:val="F9DE7F59"/>
    <w:rsid w:val="F9DF9343"/>
    <w:rsid w:val="F9FB9DFE"/>
    <w:rsid w:val="FAF608F9"/>
    <w:rsid w:val="FB21EAD4"/>
    <w:rsid w:val="FB377C61"/>
    <w:rsid w:val="FB553C3F"/>
    <w:rsid w:val="FB5CAA54"/>
    <w:rsid w:val="FB7FA088"/>
    <w:rsid w:val="FB7FBA79"/>
    <w:rsid w:val="FB973AD8"/>
    <w:rsid w:val="FBDF2935"/>
    <w:rsid w:val="FBE79F7D"/>
    <w:rsid w:val="FBF70033"/>
    <w:rsid w:val="FC5F3B0A"/>
    <w:rsid w:val="FD2F6899"/>
    <w:rsid w:val="FD3880F0"/>
    <w:rsid w:val="FDA312AC"/>
    <w:rsid w:val="FDB5B77D"/>
    <w:rsid w:val="FDD794BE"/>
    <w:rsid w:val="FDEC3F12"/>
    <w:rsid w:val="FDFE59EA"/>
    <w:rsid w:val="FE5E640A"/>
    <w:rsid w:val="FEC34A7B"/>
    <w:rsid w:val="FEDBCFA0"/>
    <w:rsid w:val="FEF973D6"/>
    <w:rsid w:val="FEFD8BCE"/>
    <w:rsid w:val="FEFEE55B"/>
    <w:rsid w:val="FF15A7C6"/>
    <w:rsid w:val="FF3E0956"/>
    <w:rsid w:val="FF3FACBD"/>
    <w:rsid w:val="FF6E617B"/>
    <w:rsid w:val="FF7FCCDB"/>
    <w:rsid w:val="FFAEA8A4"/>
    <w:rsid w:val="FFB7A98A"/>
    <w:rsid w:val="FFBEC30B"/>
    <w:rsid w:val="FFD8900E"/>
    <w:rsid w:val="FFE20B67"/>
    <w:rsid w:val="FFE553DC"/>
    <w:rsid w:val="FFE75FBA"/>
    <w:rsid w:val="FFEB2B78"/>
    <w:rsid w:val="FFEEB4B1"/>
    <w:rsid w:val="FFFA83C6"/>
    <w:rsid w:val="FFFDE7FA"/>
    <w:rsid w:val="FFFE2956"/>
    <w:rsid w:val="FFFEDC55"/>
    <w:rsid w:val="FFFFBC37"/>
    <w:rsid w:val="00010EA0"/>
    <w:rsid w:val="000219E0"/>
    <w:rsid w:val="00021E5F"/>
    <w:rsid w:val="000251AD"/>
    <w:rsid w:val="000313C7"/>
    <w:rsid w:val="000330A1"/>
    <w:rsid w:val="000444E0"/>
    <w:rsid w:val="00052946"/>
    <w:rsid w:val="000533DA"/>
    <w:rsid w:val="00053899"/>
    <w:rsid w:val="00061820"/>
    <w:rsid w:val="00065934"/>
    <w:rsid w:val="00066200"/>
    <w:rsid w:val="000676FF"/>
    <w:rsid w:val="00074DAE"/>
    <w:rsid w:val="000759E9"/>
    <w:rsid w:val="00081D5E"/>
    <w:rsid w:val="00082209"/>
    <w:rsid w:val="000A6B70"/>
    <w:rsid w:val="000B43DB"/>
    <w:rsid w:val="000C3CF4"/>
    <w:rsid w:val="000E3A02"/>
    <w:rsid w:val="000E3BB8"/>
    <w:rsid w:val="000E55FF"/>
    <w:rsid w:val="000E712F"/>
    <w:rsid w:val="000E75E2"/>
    <w:rsid w:val="000F1D5D"/>
    <w:rsid w:val="0010231D"/>
    <w:rsid w:val="00103FA5"/>
    <w:rsid w:val="001063C6"/>
    <w:rsid w:val="00114537"/>
    <w:rsid w:val="00122601"/>
    <w:rsid w:val="001255BD"/>
    <w:rsid w:val="001551A3"/>
    <w:rsid w:val="0015576E"/>
    <w:rsid w:val="00156231"/>
    <w:rsid w:val="001570A7"/>
    <w:rsid w:val="00171077"/>
    <w:rsid w:val="001838A9"/>
    <w:rsid w:val="00191096"/>
    <w:rsid w:val="001A4EB5"/>
    <w:rsid w:val="001B3BC9"/>
    <w:rsid w:val="001B424C"/>
    <w:rsid w:val="001B5091"/>
    <w:rsid w:val="001C02AB"/>
    <w:rsid w:val="001D5C12"/>
    <w:rsid w:val="001D6986"/>
    <w:rsid w:val="001E21A3"/>
    <w:rsid w:val="001E42E9"/>
    <w:rsid w:val="001E4BC3"/>
    <w:rsid w:val="001E6BED"/>
    <w:rsid w:val="00202DA5"/>
    <w:rsid w:val="00226624"/>
    <w:rsid w:val="00227948"/>
    <w:rsid w:val="002335BD"/>
    <w:rsid w:val="00242C1F"/>
    <w:rsid w:val="00242F86"/>
    <w:rsid w:val="00245AEE"/>
    <w:rsid w:val="00251545"/>
    <w:rsid w:val="00253059"/>
    <w:rsid w:val="0025464D"/>
    <w:rsid w:val="002662DF"/>
    <w:rsid w:val="002673D8"/>
    <w:rsid w:val="00270281"/>
    <w:rsid w:val="0027113A"/>
    <w:rsid w:val="00272414"/>
    <w:rsid w:val="00273DCB"/>
    <w:rsid w:val="0027799A"/>
    <w:rsid w:val="00284911"/>
    <w:rsid w:val="002850B0"/>
    <w:rsid w:val="002A33B7"/>
    <w:rsid w:val="002A43B6"/>
    <w:rsid w:val="002A6E0A"/>
    <w:rsid w:val="002C5363"/>
    <w:rsid w:val="002C5F18"/>
    <w:rsid w:val="002D100B"/>
    <w:rsid w:val="002D7738"/>
    <w:rsid w:val="002E14EE"/>
    <w:rsid w:val="002E4D4D"/>
    <w:rsid w:val="002F0603"/>
    <w:rsid w:val="002F0812"/>
    <w:rsid w:val="002F0BE5"/>
    <w:rsid w:val="002F236D"/>
    <w:rsid w:val="002F75CE"/>
    <w:rsid w:val="00310A95"/>
    <w:rsid w:val="003239E0"/>
    <w:rsid w:val="00330329"/>
    <w:rsid w:val="003352F5"/>
    <w:rsid w:val="00346F7D"/>
    <w:rsid w:val="0035752E"/>
    <w:rsid w:val="003629AE"/>
    <w:rsid w:val="0037220E"/>
    <w:rsid w:val="00373FE3"/>
    <w:rsid w:val="00395A40"/>
    <w:rsid w:val="003B3760"/>
    <w:rsid w:val="003D09F9"/>
    <w:rsid w:val="003D163C"/>
    <w:rsid w:val="003E79FF"/>
    <w:rsid w:val="0041251A"/>
    <w:rsid w:val="00416DC2"/>
    <w:rsid w:val="00424B31"/>
    <w:rsid w:val="004263FF"/>
    <w:rsid w:val="00426F9C"/>
    <w:rsid w:val="00436F5F"/>
    <w:rsid w:val="00445791"/>
    <w:rsid w:val="00455314"/>
    <w:rsid w:val="00466047"/>
    <w:rsid w:val="0046732D"/>
    <w:rsid w:val="00472510"/>
    <w:rsid w:val="00473839"/>
    <w:rsid w:val="00473B2F"/>
    <w:rsid w:val="00474651"/>
    <w:rsid w:val="0048226C"/>
    <w:rsid w:val="004913A5"/>
    <w:rsid w:val="004B334C"/>
    <w:rsid w:val="004C4B17"/>
    <w:rsid w:val="004C5360"/>
    <w:rsid w:val="004D2DE4"/>
    <w:rsid w:val="004D615A"/>
    <w:rsid w:val="004D753E"/>
    <w:rsid w:val="004E081C"/>
    <w:rsid w:val="004E30E1"/>
    <w:rsid w:val="004E6796"/>
    <w:rsid w:val="004F7109"/>
    <w:rsid w:val="005025C6"/>
    <w:rsid w:val="00507F85"/>
    <w:rsid w:val="005124E2"/>
    <w:rsid w:val="0051380E"/>
    <w:rsid w:val="0051582A"/>
    <w:rsid w:val="00517251"/>
    <w:rsid w:val="00517914"/>
    <w:rsid w:val="00520225"/>
    <w:rsid w:val="0052417C"/>
    <w:rsid w:val="00530C30"/>
    <w:rsid w:val="00535131"/>
    <w:rsid w:val="0054228D"/>
    <w:rsid w:val="00554CAE"/>
    <w:rsid w:val="0057364B"/>
    <w:rsid w:val="00577552"/>
    <w:rsid w:val="00581378"/>
    <w:rsid w:val="00584290"/>
    <w:rsid w:val="00584B08"/>
    <w:rsid w:val="005863B0"/>
    <w:rsid w:val="00597446"/>
    <w:rsid w:val="005A3FE8"/>
    <w:rsid w:val="005B2A26"/>
    <w:rsid w:val="005B4788"/>
    <w:rsid w:val="005B781A"/>
    <w:rsid w:val="005C6CD4"/>
    <w:rsid w:val="005E0D47"/>
    <w:rsid w:val="005E2254"/>
    <w:rsid w:val="005E73B6"/>
    <w:rsid w:val="005F0D14"/>
    <w:rsid w:val="005F575A"/>
    <w:rsid w:val="00611E62"/>
    <w:rsid w:val="00617B4C"/>
    <w:rsid w:val="00633885"/>
    <w:rsid w:val="00637AF9"/>
    <w:rsid w:val="00646652"/>
    <w:rsid w:val="006514AE"/>
    <w:rsid w:val="00655D88"/>
    <w:rsid w:val="00661E1F"/>
    <w:rsid w:val="00682984"/>
    <w:rsid w:val="00684EB8"/>
    <w:rsid w:val="006917A0"/>
    <w:rsid w:val="00693FB0"/>
    <w:rsid w:val="006B35CE"/>
    <w:rsid w:val="006C7794"/>
    <w:rsid w:val="006D1E4F"/>
    <w:rsid w:val="006E38CA"/>
    <w:rsid w:val="006E3FEF"/>
    <w:rsid w:val="006E4CC7"/>
    <w:rsid w:val="006E6777"/>
    <w:rsid w:val="006E6A68"/>
    <w:rsid w:val="006E76CC"/>
    <w:rsid w:val="006E7725"/>
    <w:rsid w:val="007015DA"/>
    <w:rsid w:val="00702871"/>
    <w:rsid w:val="00714AB1"/>
    <w:rsid w:val="00715302"/>
    <w:rsid w:val="00730B59"/>
    <w:rsid w:val="00731978"/>
    <w:rsid w:val="00742FC7"/>
    <w:rsid w:val="007513C5"/>
    <w:rsid w:val="00751660"/>
    <w:rsid w:val="00760F34"/>
    <w:rsid w:val="00765C5A"/>
    <w:rsid w:val="007846E1"/>
    <w:rsid w:val="00790A0E"/>
    <w:rsid w:val="007A0205"/>
    <w:rsid w:val="007B57DE"/>
    <w:rsid w:val="007C2572"/>
    <w:rsid w:val="007D1EF5"/>
    <w:rsid w:val="007D255A"/>
    <w:rsid w:val="007D4F47"/>
    <w:rsid w:val="007E08ED"/>
    <w:rsid w:val="007E5909"/>
    <w:rsid w:val="007F109A"/>
    <w:rsid w:val="00801300"/>
    <w:rsid w:val="00803221"/>
    <w:rsid w:val="008041D9"/>
    <w:rsid w:val="00811E0C"/>
    <w:rsid w:val="00850853"/>
    <w:rsid w:val="0085296A"/>
    <w:rsid w:val="0085394E"/>
    <w:rsid w:val="008547AB"/>
    <w:rsid w:val="008557A0"/>
    <w:rsid w:val="00876AA5"/>
    <w:rsid w:val="008829E7"/>
    <w:rsid w:val="00885B61"/>
    <w:rsid w:val="00893F9A"/>
    <w:rsid w:val="008A2A1D"/>
    <w:rsid w:val="008A7B06"/>
    <w:rsid w:val="008C44A5"/>
    <w:rsid w:val="008D27D5"/>
    <w:rsid w:val="008D51B7"/>
    <w:rsid w:val="008D6775"/>
    <w:rsid w:val="008D6868"/>
    <w:rsid w:val="008D6CC0"/>
    <w:rsid w:val="008E3BA1"/>
    <w:rsid w:val="008E7AB0"/>
    <w:rsid w:val="008F3F69"/>
    <w:rsid w:val="00905534"/>
    <w:rsid w:val="00911563"/>
    <w:rsid w:val="00916079"/>
    <w:rsid w:val="00937D44"/>
    <w:rsid w:val="009419DC"/>
    <w:rsid w:val="0095024D"/>
    <w:rsid w:val="00967A5A"/>
    <w:rsid w:val="00972EC5"/>
    <w:rsid w:val="0099119C"/>
    <w:rsid w:val="00992569"/>
    <w:rsid w:val="0099287E"/>
    <w:rsid w:val="0099797D"/>
    <w:rsid w:val="009A5045"/>
    <w:rsid w:val="009B219A"/>
    <w:rsid w:val="009B34EF"/>
    <w:rsid w:val="009C2E56"/>
    <w:rsid w:val="009D03AF"/>
    <w:rsid w:val="009D35F0"/>
    <w:rsid w:val="009E3062"/>
    <w:rsid w:val="009F7132"/>
    <w:rsid w:val="00A014E7"/>
    <w:rsid w:val="00A07094"/>
    <w:rsid w:val="00A148EC"/>
    <w:rsid w:val="00A14AD2"/>
    <w:rsid w:val="00A17C71"/>
    <w:rsid w:val="00A26A97"/>
    <w:rsid w:val="00A431A3"/>
    <w:rsid w:val="00A73038"/>
    <w:rsid w:val="00A7364B"/>
    <w:rsid w:val="00A82BF9"/>
    <w:rsid w:val="00A834C7"/>
    <w:rsid w:val="00A83BCA"/>
    <w:rsid w:val="00A85370"/>
    <w:rsid w:val="00A87BE3"/>
    <w:rsid w:val="00A90AC4"/>
    <w:rsid w:val="00AA1ECE"/>
    <w:rsid w:val="00AA3704"/>
    <w:rsid w:val="00AA438C"/>
    <w:rsid w:val="00AA64F0"/>
    <w:rsid w:val="00AB738A"/>
    <w:rsid w:val="00AC046B"/>
    <w:rsid w:val="00AC3517"/>
    <w:rsid w:val="00AD20BD"/>
    <w:rsid w:val="00AD53B5"/>
    <w:rsid w:val="00AE74F3"/>
    <w:rsid w:val="00AF6B9C"/>
    <w:rsid w:val="00B0116D"/>
    <w:rsid w:val="00B046AE"/>
    <w:rsid w:val="00B10C08"/>
    <w:rsid w:val="00B168F4"/>
    <w:rsid w:val="00B17774"/>
    <w:rsid w:val="00B2394D"/>
    <w:rsid w:val="00B26129"/>
    <w:rsid w:val="00B33D05"/>
    <w:rsid w:val="00B347F8"/>
    <w:rsid w:val="00B44E51"/>
    <w:rsid w:val="00B45E26"/>
    <w:rsid w:val="00B50A1C"/>
    <w:rsid w:val="00B730D3"/>
    <w:rsid w:val="00B86B41"/>
    <w:rsid w:val="00BB104A"/>
    <w:rsid w:val="00BB32D2"/>
    <w:rsid w:val="00BB56EC"/>
    <w:rsid w:val="00BC076F"/>
    <w:rsid w:val="00BC7054"/>
    <w:rsid w:val="00BD5289"/>
    <w:rsid w:val="00BF0717"/>
    <w:rsid w:val="00BF15A3"/>
    <w:rsid w:val="00BF6077"/>
    <w:rsid w:val="00BF76AA"/>
    <w:rsid w:val="00C14EFA"/>
    <w:rsid w:val="00C14F34"/>
    <w:rsid w:val="00C17264"/>
    <w:rsid w:val="00C174EE"/>
    <w:rsid w:val="00C2120D"/>
    <w:rsid w:val="00C228AD"/>
    <w:rsid w:val="00C2446E"/>
    <w:rsid w:val="00C320A8"/>
    <w:rsid w:val="00C41CC4"/>
    <w:rsid w:val="00C47833"/>
    <w:rsid w:val="00C50683"/>
    <w:rsid w:val="00C642EC"/>
    <w:rsid w:val="00C66A54"/>
    <w:rsid w:val="00C74916"/>
    <w:rsid w:val="00C7619F"/>
    <w:rsid w:val="00C84A84"/>
    <w:rsid w:val="00C87E20"/>
    <w:rsid w:val="00C9502C"/>
    <w:rsid w:val="00CA753A"/>
    <w:rsid w:val="00CB37B3"/>
    <w:rsid w:val="00CC50F1"/>
    <w:rsid w:val="00CC6BF5"/>
    <w:rsid w:val="00CF4085"/>
    <w:rsid w:val="00CF548F"/>
    <w:rsid w:val="00CF54BF"/>
    <w:rsid w:val="00CF6544"/>
    <w:rsid w:val="00D00241"/>
    <w:rsid w:val="00D04ED9"/>
    <w:rsid w:val="00D161F4"/>
    <w:rsid w:val="00D200DA"/>
    <w:rsid w:val="00D37A34"/>
    <w:rsid w:val="00D4213B"/>
    <w:rsid w:val="00D431E3"/>
    <w:rsid w:val="00D51BD9"/>
    <w:rsid w:val="00D65923"/>
    <w:rsid w:val="00D75B79"/>
    <w:rsid w:val="00D760B5"/>
    <w:rsid w:val="00D76D5C"/>
    <w:rsid w:val="00D778EE"/>
    <w:rsid w:val="00D805DB"/>
    <w:rsid w:val="00D81D6F"/>
    <w:rsid w:val="00D96AFE"/>
    <w:rsid w:val="00DA2E7C"/>
    <w:rsid w:val="00DA2E97"/>
    <w:rsid w:val="00DA422F"/>
    <w:rsid w:val="00DA55F2"/>
    <w:rsid w:val="00DB7F6C"/>
    <w:rsid w:val="00DC37DF"/>
    <w:rsid w:val="00DD08B5"/>
    <w:rsid w:val="00DD3E93"/>
    <w:rsid w:val="00DF285A"/>
    <w:rsid w:val="00E05CE7"/>
    <w:rsid w:val="00E16B0C"/>
    <w:rsid w:val="00E20EDF"/>
    <w:rsid w:val="00E21E69"/>
    <w:rsid w:val="00E24184"/>
    <w:rsid w:val="00E24631"/>
    <w:rsid w:val="00E32AD6"/>
    <w:rsid w:val="00E456DD"/>
    <w:rsid w:val="00E554AE"/>
    <w:rsid w:val="00E55A3F"/>
    <w:rsid w:val="00E57785"/>
    <w:rsid w:val="00E77647"/>
    <w:rsid w:val="00E83AED"/>
    <w:rsid w:val="00E83B15"/>
    <w:rsid w:val="00EA2E29"/>
    <w:rsid w:val="00EA5E98"/>
    <w:rsid w:val="00EA6D2F"/>
    <w:rsid w:val="00EB0011"/>
    <w:rsid w:val="00EB1664"/>
    <w:rsid w:val="00EB5E6D"/>
    <w:rsid w:val="00EC45FA"/>
    <w:rsid w:val="00EC6FCD"/>
    <w:rsid w:val="00ED31C0"/>
    <w:rsid w:val="00ED6602"/>
    <w:rsid w:val="00EE7DB6"/>
    <w:rsid w:val="00EF4C8C"/>
    <w:rsid w:val="00EF5745"/>
    <w:rsid w:val="00EF71D5"/>
    <w:rsid w:val="00F00A8C"/>
    <w:rsid w:val="00F038ED"/>
    <w:rsid w:val="00F03F7A"/>
    <w:rsid w:val="00F0469A"/>
    <w:rsid w:val="00F05673"/>
    <w:rsid w:val="00F15C48"/>
    <w:rsid w:val="00F22880"/>
    <w:rsid w:val="00F25BA4"/>
    <w:rsid w:val="00F317EA"/>
    <w:rsid w:val="00F3739D"/>
    <w:rsid w:val="00F52F7D"/>
    <w:rsid w:val="00F533EA"/>
    <w:rsid w:val="00F54E16"/>
    <w:rsid w:val="00F56526"/>
    <w:rsid w:val="00F60B72"/>
    <w:rsid w:val="00F6506C"/>
    <w:rsid w:val="00F67B53"/>
    <w:rsid w:val="00F70A2B"/>
    <w:rsid w:val="00F77226"/>
    <w:rsid w:val="00F9044F"/>
    <w:rsid w:val="00FA0082"/>
    <w:rsid w:val="00FA0C86"/>
    <w:rsid w:val="00FA341A"/>
    <w:rsid w:val="00FA4B92"/>
    <w:rsid w:val="00FB2D56"/>
    <w:rsid w:val="00FB59F0"/>
    <w:rsid w:val="00FD616F"/>
    <w:rsid w:val="00FE5D1C"/>
    <w:rsid w:val="00FF640F"/>
    <w:rsid w:val="0103679B"/>
    <w:rsid w:val="014A4B87"/>
    <w:rsid w:val="05504EA4"/>
    <w:rsid w:val="06007F0A"/>
    <w:rsid w:val="06E35BCA"/>
    <w:rsid w:val="0A717BCF"/>
    <w:rsid w:val="0B8415DD"/>
    <w:rsid w:val="0C2E5335"/>
    <w:rsid w:val="0E15476E"/>
    <w:rsid w:val="0EE76AF3"/>
    <w:rsid w:val="0F3E4653"/>
    <w:rsid w:val="0F5FF4CB"/>
    <w:rsid w:val="10AF5E96"/>
    <w:rsid w:val="15330600"/>
    <w:rsid w:val="15432A7A"/>
    <w:rsid w:val="160E3FB3"/>
    <w:rsid w:val="179F5FEC"/>
    <w:rsid w:val="18DE2403"/>
    <w:rsid w:val="19FF63F5"/>
    <w:rsid w:val="1A1262B6"/>
    <w:rsid w:val="1BE99773"/>
    <w:rsid w:val="1C575790"/>
    <w:rsid w:val="1D9F06AA"/>
    <w:rsid w:val="1DD70377"/>
    <w:rsid w:val="1DFCC72A"/>
    <w:rsid w:val="1EF511B7"/>
    <w:rsid w:val="1FEBEC2B"/>
    <w:rsid w:val="21CD1190"/>
    <w:rsid w:val="21EFAAE1"/>
    <w:rsid w:val="220B05E5"/>
    <w:rsid w:val="226FBCB7"/>
    <w:rsid w:val="2397D1A1"/>
    <w:rsid w:val="247EF442"/>
    <w:rsid w:val="258E0C76"/>
    <w:rsid w:val="25DF5878"/>
    <w:rsid w:val="26CB06BD"/>
    <w:rsid w:val="29E3139F"/>
    <w:rsid w:val="2B3B360F"/>
    <w:rsid w:val="2B3B5817"/>
    <w:rsid w:val="2BB44CA4"/>
    <w:rsid w:val="2BFC9B9E"/>
    <w:rsid w:val="2D1FC237"/>
    <w:rsid w:val="2D205A73"/>
    <w:rsid w:val="2EF5AC39"/>
    <w:rsid w:val="2EFFB00E"/>
    <w:rsid w:val="2FF66CA2"/>
    <w:rsid w:val="35248DAB"/>
    <w:rsid w:val="36BFFC96"/>
    <w:rsid w:val="373FB03F"/>
    <w:rsid w:val="376D3B04"/>
    <w:rsid w:val="37B7901D"/>
    <w:rsid w:val="37BF93D2"/>
    <w:rsid w:val="37BFB072"/>
    <w:rsid w:val="37F610DD"/>
    <w:rsid w:val="38C002DB"/>
    <w:rsid w:val="3A393938"/>
    <w:rsid w:val="3AAE9D4D"/>
    <w:rsid w:val="3BBBEDED"/>
    <w:rsid w:val="3D77084A"/>
    <w:rsid w:val="3DE217FC"/>
    <w:rsid w:val="3ED35501"/>
    <w:rsid w:val="3F75ECE7"/>
    <w:rsid w:val="3F8E69CF"/>
    <w:rsid w:val="3FB1C952"/>
    <w:rsid w:val="3FBF99B7"/>
    <w:rsid w:val="3FD75293"/>
    <w:rsid w:val="3FF622F8"/>
    <w:rsid w:val="3FF71762"/>
    <w:rsid w:val="40904784"/>
    <w:rsid w:val="437E07ED"/>
    <w:rsid w:val="47E5B819"/>
    <w:rsid w:val="49BFA14B"/>
    <w:rsid w:val="4DE7A47D"/>
    <w:rsid w:val="4DFFF38F"/>
    <w:rsid w:val="4F77CB51"/>
    <w:rsid w:val="4F7B19DB"/>
    <w:rsid w:val="4FD800AF"/>
    <w:rsid w:val="54BE79D2"/>
    <w:rsid w:val="55DF5227"/>
    <w:rsid w:val="57FC1049"/>
    <w:rsid w:val="592B747B"/>
    <w:rsid w:val="5B696A7F"/>
    <w:rsid w:val="5BBBDF88"/>
    <w:rsid w:val="5C0F6094"/>
    <w:rsid w:val="5CCCDB3C"/>
    <w:rsid w:val="5DFD1653"/>
    <w:rsid w:val="5EF36E34"/>
    <w:rsid w:val="5F330FEF"/>
    <w:rsid w:val="5F3C28FF"/>
    <w:rsid w:val="5F7F9F0F"/>
    <w:rsid w:val="5F7FD44A"/>
    <w:rsid w:val="5FBC23DB"/>
    <w:rsid w:val="5FDF6671"/>
    <w:rsid w:val="5FE7350B"/>
    <w:rsid w:val="5FEE31C8"/>
    <w:rsid w:val="5FF9539E"/>
    <w:rsid w:val="5FFB1F32"/>
    <w:rsid w:val="60625DC6"/>
    <w:rsid w:val="60D40EEC"/>
    <w:rsid w:val="621230F7"/>
    <w:rsid w:val="64BDEFC3"/>
    <w:rsid w:val="657DDF57"/>
    <w:rsid w:val="65C464BC"/>
    <w:rsid w:val="676F2FAE"/>
    <w:rsid w:val="677FD86A"/>
    <w:rsid w:val="67BFF472"/>
    <w:rsid w:val="67D3206D"/>
    <w:rsid w:val="67EFED94"/>
    <w:rsid w:val="67FECF3F"/>
    <w:rsid w:val="67FEF63E"/>
    <w:rsid w:val="68FBF646"/>
    <w:rsid w:val="69B366A6"/>
    <w:rsid w:val="6A4AD875"/>
    <w:rsid w:val="6A6FEFD4"/>
    <w:rsid w:val="6ABC5639"/>
    <w:rsid w:val="6BAA11C7"/>
    <w:rsid w:val="6CDB030D"/>
    <w:rsid w:val="6CFFF065"/>
    <w:rsid w:val="6D4EE732"/>
    <w:rsid w:val="6D7EDE77"/>
    <w:rsid w:val="6DFE50BB"/>
    <w:rsid w:val="6E63C916"/>
    <w:rsid w:val="6E964A3E"/>
    <w:rsid w:val="6EAB7730"/>
    <w:rsid w:val="6EDED31D"/>
    <w:rsid w:val="6EECE64C"/>
    <w:rsid w:val="6F4B1C68"/>
    <w:rsid w:val="6F5175D2"/>
    <w:rsid w:val="6F57C14B"/>
    <w:rsid w:val="6F6D4264"/>
    <w:rsid w:val="6F73433D"/>
    <w:rsid w:val="6F9E2871"/>
    <w:rsid w:val="6FBA415A"/>
    <w:rsid w:val="6FC154A0"/>
    <w:rsid w:val="6FE35292"/>
    <w:rsid w:val="6FF4924B"/>
    <w:rsid w:val="6FF7BFC5"/>
    <w:rsid w:val="6FFF03F5"/>
    <w:rsid w:val="71961C05"/>
    <w:rsid w:val="72FFEB74"/>
    <w:rsid w:val="737E0E61"/>
    <w:rsid w:val="75DFC590"/>
    <w:rsid w:val="75F5F25B"/>
    <w:rsid w:val="75FAF679"/>
    <w:rsid w:val="761BA62B"/>
    <w:rsid w:val="76CE611D"/>
    <w:rsid w:val="76DB83B8"/>
    <w:rsid w:val="76DF1C25"/>
    <w:rsid w:val="76F7AEC5"/>
    <w:rsid w:val="772B62DA"/>
    <w:rsid w:val="776EFEA9"/>
    <w:rsid w:val="77A73B1A"/>
    <w:rsid w:val="77AFAFF8"/>
    <w:rsid w:val="77D0F2E0"/>
    <w:rsid w:val="77DFA187"/>
    <w:rsid w:val="77ED8833"/>
    <w:rsid w:val="77EED72E"/>
    <w:rsid w:val="77F6F211"/>
    <w:rsid w:val="77FEC2EC"/>
    <w:rsid w:val="78EED8E4"/>
    <w:rsid w:val="7A3B0533"/>
    <w:rsid w:val="7ADDD58F"/>
    <w:rsid w:val="7AFF2DD1"/>
    <w:rsid w:val="7B97461F"/>
    <w:rsid w:val="7BB5A9FA"/>
    <w:rsid w:val="7BCD09B4"/>
    <w:rsid w:val="7BDFCEEC"/>
    <w:rsid w:val="7BF7FE4C"/>
    <w:rsid w:val="7BFCED1C"/>
    <w:rsid w:val="7BFD1B49"/>
    <w:rsid w:val="7BFFC76C"/>
    <w:rsid w:val="7C4B2209"/>
    <w:rsid w:val="7C7EAAD4"/>
    <w:rsid w:val="7CDC37C5"/>
    <w:rsid w:val="7CEBFDDD"/>
    <w:rsid w:val="7CF30C12"/>
    <w:rsid w:val="7CF682F0"/>
    <w:rsid w:val="7D2708CA"/>
    <w:rsid w:val="7D7743F4"/>
    <w:rsid w:val="7D9AFBAC"/>
    <w:rsid w:val="7DADDC7B"/>
    <w:rsid w:val="7DFAC162"/>
    <w:rsid w:val="7E5F4E21"/>
    <w:rsid w:val="7E7E67F8"/>
    <w:rsid w:val="7E7FB261"/>
    <w:rsid w:val="7E7FBFF7"/>
    <w:rsid w:val="7E9F369B"/>
    <w:rsid w:val="7EB1E856"/>
    <w:rsid w:val="7EB5BC19"/>
    <w:rsid w:val="7ED5E05A"/>
    <w:rsid w:val="7EDCD8D8"/>
    <w:rsid w:val="7EEBECC9"/>
    <w:rsid w:val="7EFEE28E"/>
    <w:rsid w:val="7EFF7FC0"/>
    <w:rsid w:val="7EFFA064"/>
    <w:rsid w:val="7F3B807D"/>
    <w:rsid w:val="7F63EF19"/>
    <w:rsid w:val="7F754574"/>
    <w:rsid w:val="7F77DD4F"/>
    <w:rsid w:val="7F7BDDA3"/>
    <w:rsid w:val="7FA462FD"/>
    <w:rsid w:val="7FABC598"/>
    <w:rsid w:val="7FB5F0D7"/>
    <w:rsid w:val="7FBBBEF4"/>
    <w:rsid w:val="7FBF593A"/>
    <w:rsid w:val="7FBFE445"/>
    <w:rsid w:val="7FD6B09C"/>
    <w:rsid w:val="7FD6C008"/>
    <w:rsid w:val="7FD6DA0C"/>
    <w:rsid w:val="7FD78BAC"/>
    <w:rsid w:val="7FDF0FC0"/>
    <w:rsid w:val="7FE7756E"/>
    <w:rsid w:val="7FE7DC4B"/>
    <w:rsid w:val="7FF9050E"/>
    <w:rsid w:val="7FFA1D25"/>
    <w:rsid w:val="7FFA2A4B"/>
    <w:rsid w:val="7FFB8F9F"/>
    <w:rsid w:val="7FFD54DE"/>
    <w:rsid w:val="7FFDBAEE"/>
    <w:rsid w:val="7FFE75BA"/>
    <w:rsid w:val="7FFF1F3A"/>
    <w:rsid w:val="7FFF40F2"/>
    <w:rsid w:val="7FFFE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8EFF49"/>
  <w15:docId w15:val="{4BE045C8-EF06-44E1-B00B-898C710FE9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line="360" w:lineRule="auto"/>
      <w:ind w:firstLineChars="200" w:firstLine="200"/>
      <w:outlineLvl w:val="1"/>
    </w:pPr>
    <w:rPr>
      <w:rFonts w:asciiTheme="majorHAnsi" w:eastAsia="仿宋" w:hAnsiTheme="majorHAnsi" w:cstheme="majorBidi"/>
      <w:b/>
      <w:bCs/>
      <w:sz w:val="28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="Calibri" w:eastAsia="宋体" w:hAnsi="Calibri" w:cs="Times New Roman"/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Title"/>
    <w:basedOn w:val="a"/>
    <w:next w:val="a"/>
    <w:link w:val="a8"/>
    <w:uiPriority w:val="10"/>
    <w:qFormat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table" w:styleId="a9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标题 2 字符"/>
    <w:basedOn w:val="a0"/>
    <w:link w:val="2"/>
    <w:uiPriority w:val="9"/>
    <w:qFormat/>
    <w:rPr>
      <w:rFonts w:asciiTheme="majorHAnsi" w:eastAsia="仿宋" w:hAnsiTheme="majorHAnsi" w:cstheme="majorBidi"/>
      <w:b/>
      <w:bCs/>
      <w:sz w:val="28"/>
      <w:szCs w:val="32"/>
    </w:rPr>
  </w:style>
  <w:style w:type="character" w:customStyle="1" w:styleId="a4">
    <w:name w:val="页脚 字符"/>
    <w:basedOn w:val="a0"/>
    <w:link w:val="a3"/>
    <w:uiPriority w:val="99"/>
    <w:qFormat/>
    <w:rPr>
      <w:rFonts w:ascii="Calibri" w:eastAsia="宋体" w:hAnsi="Calibri" w:cs="Times New Roman"/>
      <w:sz w:val="18"/>
      <w:szCs w:val="18"/>
    </w:rPr>
  </w:style>
  <w:style w:type="character" w:customStyle="1" w:styleId="a8">
    <w:name w:val="标题 字符"/>
    <w:basedOn w:val="a0"/>
    <w:link w:val="a7"/>
    <w:uiPriority w:val="10"/>
    <w:qFormat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a">
    <w:name w:val="List Paragraph"/>
    <w:basedOn w:val="a"/>
    <w:link w:val="ab"/>
    <w:uiPriority w:val="34"/>
    <w:qFormat/>
    <w:pPr>
      <w:jc w:val="center"/>
    </w:pPr>
    <w:rPr>
      <w:rFonts w:ascii="Times New Roman" w:eastAsia="仿宋" w:hAnsi="Times New Roman" w:cs="Times New Roman"/>
      <w:b/>
      <w:sz w:val="24"/>
      <w:szCs w:val="24"/>
    </w:rPr>
  </w:style>
  <w:style w:type="character" w:customStyle="1" w:styleId="ab">
    <w:name w:val="列出段落 字符"/>
    <w:link w:val="aa"/>
    <w:uiPriority w:val="34"/>
    <w:qFormat/>
    <w:locked/>
    <w:rPr>
      <w:rFonts w:ascii="Times New Roman" w:eastAsia="仿宋" w:hAnsi="Times New Roman" w:cs="Times New Roman"/>
      <w:b/>
      <w:sz w:val="24"/>
      <w:szCs w:val="24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paragraph" w:customStyle="1" w:styleId="1">
    <w:name w:val="修订1"/>
    <w:hidden/>
    <w:uiPriority w:val="99"/>
    <w:unhideWhenUsed/>
    <w:qFormat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220</Words>
  <Characters>1254</Characters>
  <Application>Microsoft Office Word</Application>
  <DocSecurity>0</DocSecurity>
  <Lines>10</Lines>
  <Paragraphs>2</Paragraphs>
  <ScaleCrop>false</ScaleCrop>
  <Company>Microsoft</Company>
  <LinksUpToDate>false</LinksUpToDate>
  <CharactersWithSpaces>1472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呼和浩特市人民政府办公室</dc:title>
  <dc:creator>RAY LIU</dc:creator>
  <cp:lastModifiedBy>演示人</cp:lastModifiedBy>
  <cp:revision>3</cp:revision>
  <cp:lastPrinted>2025-02-15T11:32:00Z</cp:lastPrinted>
  <dcterms:created xsi:type="dcterms:W3CDTF">2025-03-31T08:09:00Z</dcterms:created>
  <dcterms:modified xsi:type="dcterms:W3CDTF">2025-03-31T08:12:00Z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8061FE40C7102075E55FDD672778DE3B</vt:lpwstr>
  </property>
  <property fmtid="{D5CDD505-2E9C-101B-9397-08002B2CF9AE}" pid="4" name="KSOTemplateDocerSaveRecord">
    <vt:lpwstr>eyJoZGlkIjoiMjRjZTdhNzc0MzI2ZTk2ODE3Zjc3MGE5MTE3NmNhZTIiLCJ1c2VySWQiOiI1NjIzNTE5MDIifQ==</vt:lpwstr>
  </property>
</Properties>
</file>