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spacing w:line="62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hAnsi="方正大标宋简体" w:eastAsia="方正小标宋简体" w:cs="方正大标宋简体"/>
          <w:sz w:val="44"/>
          <w:szCs w:val="44"/>
          <w:lang w:eastAsia="zh-CN"/>
        </w:rPr>
        <w:t>和林格尔县</w:t>
      </w:r>
      <w:r>
        <w:rPr>
          <w:rFonts w:hint="eastAsia" w:ascii="方正小标宋简体" w:hAnsi="方正大标宋简体" w:eastAsia="方正小标宋简体" w:cs="方正大标宋简体"/>
          <w:sz w:val="44"/>
          <w:szCs w:val="44"/>
        </w:rPr>
        <w:t>教育系统学校安全隐患排查月报表</w:t>
      </w:r>
    </w:p>
    <w:p>
      <w:pPr>
        <w:spacing w:after="156" w:afterLines="50"/>
        <w:rPr>
          <w:rFonts w:hint="eastAsia"/>
          <w:sz w:val="24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学校、幼儿园（公章）：</w:t>
      </w:r>
      <w:r>
        <w:rPr>
          <w:rFonts w:hint="eastAsia"/>
          <w:sz w:val="24"/>
        </w:rPr>
        <w:t xml:space="preserve">                                               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 时间：      年    月    日</w:t>
      </w:r>
    </w:p>
    <w:tbl>
      <w:tblPr>
        <w:tblStyle w:val="6"/>
        <w:tblW w:w="1443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130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373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项目</w:t>
            </w:r>
          </w:p>
        </w:tc>
        <w:tc>
          <w:tcPr>
            <w:tcW w:w="13062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373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排查次数</w:t>
            </w:r>
          </w:p>
        </w:tc>
        <w:tc>
          <w:tcPr>
            <w:tcW w:w="13062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1373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隐患个数</w:t>
            </w:r>
          </w:p>
        </w:tc>
        <w:tc>
          <w:tcPr>
            <w:tcW w:w="13062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  <w:jc w:val="center"/>
        </w:trPr>
        <w:tc>
          <w:tcPr>
            <w:tcW w:w="1373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整改情况</w:t>
            </w:r>
          </w:p>
        </w:tc>
        <w:tc>
          <w:tcPr>
            <w:tcW w:w="13062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137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整改率</w:t>
            </w:r>
          </w:p>
        </w:tc>
        <w:tc>
          <w:tcPr>
            <w:tcW w:w="13062" w:type="dxa"/>
            <w:noWrap w:val="0"/>
            <w:vAlign w:val="top"/>
          </w:tcPr>
          <w:p/>
        </w:tc>
      </w:tr>
    </w:tbl>
    <w:p>
      <w:pPr>
        <w:topLinePunct/>
        <w:spacing w:line="620" w:lineRule="exact"/>
        <w:rPr>
          <w:rFonts w:hint="eastAsia"/>
          <w:sz w:val="32"/>
          <w:szCs w:val="32"/>
        </w:rPr>
      </w:pPr>
    </w:p>
    <w:p>
      <w:pPr>
        <w:topLinePunct/>
        <w:spacing w:line="62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hAnsi="方正大标宋简体" w:eastAsia="方正小标宋简体" w:cs="方正大标宋简体"/>
          <w:sz w:val="44"/>
          <w:szCs w:val="44"/>
          <w:lang w:eastAsia="zh-CN"/>
        </w:rPr>
        <w:t>和林格尔县</w:t>
      </w:r>
      <w:r>
        <w:rPr>
          <w:rFonts w:hint="eastAsia" w:ascii="方正小标宋简体" w:hAnsi="方正大标宋简体" w:eastAsia="方正小标宋简体" w:cs="方正大标宋简体"/>
          <w:sz w:val="44"/>
          <w:szCs w:val="44"/>
        </w:rPr>
        <w:t>教育系统学校安全隐患自查整改台账登记表</w:t>
      </w:r>
    </w:p>
    <w:p>
      <w:pPr>
        <w:spacing w:after="156" w:afterLines="50"/>
        <w:rPr>
          <w:rFonts w:hint="eastAsia"/>
          <w:sz w:val="24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学校、幼儿园（公章）：</w:t>
      </w:r>
      <w:r>
        <w:rPr>
          <w:rFonts w:hint="eastAsia"/>
          <w:sz w:val="24"/>
        </w:rPr>
        <w:t xml:space="preserve">             </w:t>
      </w:r>
      <w:r>
        <w:rPr>
          <w:rFonts w:hint="eastAsia" w:ascii="仿宋" w:hAnsi="仿宋" w:eastAsia="仿宋"/>
          <w:color w:val="000000"/>
          <w:sz w:val="32"/>
          <w:szCs w:val="32"/>
        </w:rPr>
        <w:t>检查人：                    时间：      年    月    日</w:t>
      </w:r>
    </w:p>
    <w:tbl>
      <w:tblPr>
        <w:tblStyle w:val="6"/>
        <w:tblW w:w="144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080"/>
        <w:gridCol w:w="3327"/>
        <w:gridCol w:w="1155"/>
        <w:gridCol w:w="2120"/>
        <w:gridCol w:w="1134"/>
        <w:gridCol w:w="3260"/>
        <w:gridCol w:w="1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64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安全隐患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发现地点</w:t>
            </w:r>
          </w:p>
        </w:tc>
        <w:tc>
          <w:tcPr>
            <w:tcW w:w="332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隐患内容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责任人</w:t>
            </w:r>
          </w:p>
        </w:tc>
        <w:tc>
          <w:tcPr>
            <w:tcW w:w="212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整改措施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整改期限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整改销号情况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整改复查人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8" w:type="dxa"/>
            <w:noWrap w:val="0"/>
            <w:vAlign w:val="top"/>
          </w:tcPr>
          <w:p/>
        </w:tc>
        <w:tc>
          <w:tcPr>
            <w:tcW w:w="1080" w:type="dxa"/>
            <w:noWrap w:val="0"/>
            <w:vAlign w:val="top"/>
          </w:tcPr>
          <w:p/>
        </w:tc>
        <w:tc>
          <w:tcPr>
            <w:tcW w:w="3327" w:type="dxa"/>
            <w:noWrap w:val="0"/>
            <w:vAlign w:val="top"/>
          </w:tcPr>
          <w:p/>
        </w:tc>
        <w:tc>
          <w:tcPr>
            <w:tcW w:w="1155" w:type="dxa"/>
            <w:noWrap w:val="0"/>
            <w:vAlign w:val="top"/>
          </w:tcPr>
          <w:p/>
        </w:tc>
        <w:tc>
          <w:tcPr>
            <w:tcW w:w="2120" w:type="dxa"/>
            <w:noWrap w:val="0"/>
            <w:vAlign w:val="top"/>
          </w:tcPr>
          <w:p/>
        </w:tc>
        <w:tc>
          <w:tcPr>
            <w:tcW w:w="1134" w:type="dxa"/>
            <w:noWrap w:val="0"/>
            <w:vAlign w:val="top"/>
          </w:tcPr>
          <w:p/>
        </w:tc>
        <w:tc>
          <w:tcPr>
            <w:tcW w:w="3260" w:type="dxa"/>
            <w:noWrap w:val="0"/>
            <w:vAlign w:val="top"/>
          </w:tcPr>
          <w:p/>
        </w:tc>
        <w:tc>
          <w:tcPr>
            <w:tcW w:w="1711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8" w:type="dxa"/>
            <w:noWrap w:val="0"/>
            <w:vAlign w:val="top"/>
          </w:tcPr>
          <w:p/>
        </w:tc>
        <w:tc>
          <w:tcPr>
            <w:tcW w:w="1080" w:type="dxa"/>
            <w:noWrap w:val="0"/>
            <w:vAlign w:val="top"/>
          </w:tcPr>
          <w:p/>
        </w:tc>
        <w:tc>
          <w:tcPr>
            <w:tcW w:w="3327" w:type="dxa"/>
            <w:noWrap w:val="0"/>
            <w:vAlign w:val="top"/>
          </w:tcPr>
          <w:p/>
        </w:tc>
        <w:tc>
          <w:tcPr>
            <w:tcW w:w="1155" w:type="dxa"/>
            <w:noWrap w:val="0"/>
            <w:vAlign w:val="top"/>
          </w:tcPr>
          <w:p/>
        </w:tc>
        <w:tc>
          <w:tcPr>
            <w:tcW w:w="2120" w:type="dxa"/>
            <w:noWrap w:val="0"/>
            <w:vAlign w:val="top"/>
          </w:tcPr>
          <w:p/>
        </w:tc>
        <w:tc>
          <w:tcPr>
            <w:tcW w:w="1134" w:type="dxa"/>
            <w:noWrap w:val="0"/>
            <w:vAlign w:val="top"/>
          </w:tcPr>
          <w:p/>
        </w:tc>
        <w:tc>
          <w:tcPr>
            <w:tcW w:w="3260" w:type="dxa"/>
            <w:noWrap w:val="0"/>
            <w:vAlign w:val="top"/>
          </w:tcPr>
          <w:p/>
        </w:tc>
        <w:tc>
          <w:tcPr>
            <w:tcW w:w="1711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8" w:type="dxa"/>
            <w:noWrap w:val="0"/>
            <w:vAlign w:val="top"/>
          </w:tcPr>
          <w:p/>
        </w:tc>
        <w:tc>
          <w:tcPr>
            <w:tcW w:w="1080" w:type="dxa"/>
            <w:noWrap w:val="0"/>
            <w:vAlign w:val="top"/>
          </w:tcPr>
          <w:p/>
        </w:tc>
        <w:tc>
          <w:tcPr>
            <w:tcW w:w="3327" w:type="dxa"/>
            <w:noWrap w:val="0"/>
            <w:vAlign w:val="top"/>
          </w:tcPr>
          <w:p/>
        </w:tc>
        <w:tc>
          <w:tcPr>
            <w:tcW w:w="1155" w:type="dxa"/>
            <w:noWrap w:val="0"/>
            <w:vAlign w:val="top"/>
          </w:tcPr>
          <w:p/>
        </w:tc>
        <w:tc>
          <w:tcPr>
            <w:tcW w:w="2120" w:type="dxa"/>
            <w:noWrap w:val="0"/>
            <w:vAlign w:val="top"/>
          </w:tcPr>
          <w:p/>
        </w:tc>
        <w:tc>
          <w:tcPr>
            <w:tcW w:w="1134" w:type="dxa"/>
            <w:noWrap w:val="0"/>
            <w:vAlign w:val="top"/>
          </w:tcPr>
          <w:p/>
        </w:tc>
        <w:tc>
          <w:tcPr>
            <w:tcW w:w="3260" w:type="dxa"/>
            <w:noWrap w:val="0"/>
            <w:vAlign w:val="top"/>
          </w:tcPr>
          <w:p/>
        </w:tc>
        <w:tc>
          <w:tcPr>
            <w:tcW w:w="1711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8" w:type="dxa"/>
            <w:noWrap w:val="0"/>
            <w:vAlign w:val="top"/>
          </w:tcPr>
          <w:p/>
        </w:tc>
        <w:tc>
          <w:tcPr>
            <w:tcW w:w="1080" w:type="dxa"/>
            <w:noWrap w:val="0"/>
            <w:vAlign w:val="top"/>
          </w:tcPr>
          <w:p/>
        </w:tc>
        <w:tc>
          <w:tcPr>
            <w:tcW w:w="3327" w:type="dxa"/>
            <w:noWrap w:val="0"/>
            <w:vAlign w:val="top"/>
          </w:tcPr>
          <w:p/>
        </w:tc>
        <w:tc>
          <w:tcPr>
            <w:tcW w:w="1155" w:type="dxa"/>
            <w:noWrap w:val="0"/>
            <w:vAlign w:val="top"/>
          </w:tcPr>
          <w:p/>
        </w:tc>
        <w:tc>
          <w:tcPr>
            <w:tcW w:w="2120" w:type="dxa"/>
            <w:noWrap w:val="0"/>
            <w:vAlign w:val="top"/>
          </w:tcPr>
          <w:p/>
        </w:tc>
        <w:tc>
          <w:tcPr>
            <w:tcW w:w="1134" w:type="dxa"/>
            <w:noWrap w:val="0"/>
            <w:vAlign w:val="top"/>
          </w:tcPr>
          <w:p/>
        </w:tc>
        <w:tc>
          <w:tcPr>
            <w:tcW w:w="3260" w:type="dxa"/>
            <w:noWrap w:val="0"/>
            <w:vAlign w:val="top"/>
          </w:tcPr>
          <w:p/>
        </w:tc>
        <w:tc>
          <w:tcPr>
            <w:tcW w:w="1711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8" w:type="dxa"/>
            <w:noWrap w:val="0"/>
            <w:vAlign w:val="top"/>
          </w:tcPr>
          <w:p/>
        </w:tc>
        <w:tc>
          <w:tcPr>
            <w:tcW w:w="1080" w:type="dxa"/>
            <w:noWrap w:val="0"/>
            <w:vAlign w:val="top"/>
          </w:tcPr>
          <w:p/>
        </w:tc>
        <w:tc>
          <w:tcPr>
            <w:tcW w:w="3327" w:type="dxa"/>
            <w:noWrap w:val="0"/>
            <w:vAlign w:val="top"/>
          </w:tcPr>
          <w:p/>
        </w:tc>
        <w:tc>
          <w:tcPr>
            <w:tcW w:w="1155" w:type="dxa"/>
            <w:noWrap w:val="0"/>
            <w:vAlign w:val="top"/>
          </w:tcPr>
          <w:p/>
        </w:tc>
        <w:tc>
          <w:tcPr>
            <w:tcW w:w="2120" w:type="dxa"/>
            <w:noWrap w:val="0"/>
            <w:vAlign w:val="top"/>
          </w:tcPr>
          <w:p/>
        </w:tc>
        <w:tc>
          <w:tcPr>
            <w:tcW w:w="1134" w:type="dxa"/>
            <w:noWrap w:val="0"/>
            <w:vAlign w:val="top"/>
          </w:tcPr>
          <w:p/>
        </w:tc>
        <w:tc>
          <w:tcPr>
            <w:tcW w:w="3260" w:type="dxa"/>
            <w:noWrap w:val="0"/>
            <w:vAlign w:val="top"/>
          </w:tcPr>
          <w:p/>
        </w:tc>
        <w:tc>
          <w:tcPr>
            <w:tcW w:w="1711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8" w:type="dxa"/>
            <w:noWrap w:val="0"/>
            <w:vAlign w:val="top"/>
          </w:tcPr>
          <w:p/>
        </w:tc>
        <w:tc>
          <w:tcPr>
            <w:tcW w:w="1080" w:type="dxa"/>
            <w:noWrap w:val="0"/>
            <w:vAlign w:val="top"/>
          </w:tcPr>
          <w:p/>
        </w:tc>
        <w:tc>
          <w:tcPr>
            <w:tcW w:w="3327" w:type="dxa"/>
            <w:noWrap w:val="0"/>
            <w:vAlign w:val="top"/>
          </w:tcPr>
          <w:p/>
        </w:tc>
        <w:tc>
          <w:tcPr>
            <w:tcW w:w="1155" w:type="dxa"/>
            <w:noWrap w:val="0"/>
            <w:vAlign w:val="top"/>
          </w:tcPr>
          <w:p/>
        </w:tc>
        <w:tc>
          <w:tcPr>
            <w:tcW w:w="2120" w:type="dxa"/>
            <w:noWrap w:val="0"/>
            <w:vAlign w:val="top"/>
          </w:tcPr>
          <w:p/>
        </w:tc>
        <w:tc>
          <w:tcPr>
            <w:tcW w:w="1134" w:type="dxa"/>
            <w:noWrap w:val="0"/>
            <w:vAlign w:val="top"/>
          </w:tcPr>
          <w:p/>
        </w:tc>
        <w:tc>
          <w:tcPr>
            <w:tcW w:w="3260" w:type="dxa"/>
            <w:noWrap w:val="0"/>
            <w:vAlign w:val="top"/>
          </w:tcPr>
          <w:p/>
        </w:tc>
        <w:tc>
          <w:tcPr>
            <w:tcW w:w="1711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8" w:type="dxa"/>
            <w:noWrap w:val="0"/>
            <w:vAlign w:val="top"/>
          </w:tcPr>
          <w:p/>
        </w:tc>
        <w:tc>
          <w:tcPr>
            <w:tcW w:w="1080" w:type="dxa"/>
            <w:noWrap w:val="0"/>
            <w:vAlign w:val="top"/>
          </w:tcPr>
          <w:p/>
        </w:tc>
        <w:tc>
          <w:tcPr>
            <w:tcW w:w="3327" w:type="dxa"/>
            <w:noWrap w:val="0"/>
            <w:vAlign w:val="top"/>
          </w:tcPr>
          <w:p/>
        </w:tc>
        <w:tc>
          <w:tcPr>
            <w:tcW w:w="1155" w:type="dxa"/>
            <w:noWrap w:val="0"/>
            <w:vAlign w:val="top"/>
          </w:tcPr>
          <w:p/>
        </w:tc>
        <w:tc>
          <w:tcPr>
            <w:tcW w:w="2120" w:type="dxa"/>
            <w:noWrap w:val="0"/>
            <w:vAlign w:val="top"/>
          </w:tcPr>
          <w:p/>
        </w:tc>
        <w:tc>
          <w:tcPr>
            <w:tcW w:w="1134" w:type="dxa"/>
            <w:noWrap w:val="0"/>
            <w:vAlign w:val="top"/>
          </w:tcPr>
          <w:p/>
        </w:tc>
        <w:tc>
          <w:tcPr>
            <w:tcW w:w="3260" w:type="dxa"/>
            <w:noWrap w:val="0"/>
            <w:vAlign w:val="top"/>
          </w:tcPr>
          <w:p/>
        </w:tc>
        <w:tc>
          <w:tcPr>
            <w:tcW w:w="1711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8" w:type="dxa"/>
            <w:noWrap w:val="0"/>
            <w:vAlign w:val="top"/>
          </w:tcPr>
          <w:p/>
        </w:tc>
        <w:tc>
          <w:tcPr>
            <w:tcW w:w="1080" w:type="dxa"/>
            <w:noWrap w:val="0"/>
            <w:vAlign w:val="top"/>
          </w:tcPr>
          <w:p/>
        </w:tc>
        <w:tc>
          <w:tcPr>
            <w:tcW w:w="3327" w:type="dxa"/>
            <w:noWrap w:val="0"/>
            <w:vAlign w:val="top"/>
          </w:tcPr>
          <w:p/>
        </w:tc>
        <w:tc>
          <w:tcPr>
            <w:tcW w:w="1155" w:type="dxa"/>
            <w:noWrap w:val="0"/>
            <w:vAlign w:val="top"/>
          </w:tcPr>
          <w:p/>
        </w:tc>
        <w:tc>
          <w:tcPr>
            <w:tcW w:w="2120" w:type="dxa"/>
            <w:noWrap w:val="0"/>
            <w:vAlign w:val="top"/>
          </w:tcPr>
          <w:p/>
        </w:tc>
        <w:tc>
          <w:tcPr>
            <w:tcW w:w="1134" w:type="dxa"/>
            <w:noWrap w:val="0"/>
            <w:vAlign w:val="top"/>
          </w:tcPr>
          <w:p/>
        </w:tc>
        <w:tc>
          <w:tcPr>
            <w:tcW w:w="3260" w:type="dxa"/>
            <w:noWrap w:val="0"/>
            <w:vAlign w:val="top"/>
          </w:tcPr>
          <w:p/>
        </w:tc>
        <w:tc>
          <w:tcPr>
            <w:tcW w:w="1711" w:type="dxa"/>
            <w:noWrap w:val="0"/>
            <w:vAlign w:val="top"/>
          </w:tcPr>
          <w:p/>
        </w:tc>
      </w:tr>
    </w:tbl>
    <w:p>
      <w:pPr>
        <w:topLinePunct/>
        <w:spacing w:line="620" w:lineRule="exact"/>
        <w:rPr>
          <w:rFonts w:hint="eastAsia" w:ascii="仿宋_GB2312" w:eastAsia="仿宋_GB2312"/>
          <w:sz w:val="32"/>
          <w:szCs w:val="32"/>
        </w:rPr>
      </w:pPr>
    </w:p>
    <w:p>
      <w:pPr>
        <w:topLinePunct/>
        <w:spacing w:line="62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附件3</w:t>
      </w:r>
    </w:p>
    <w:p>
      <w:pPr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 w:cs="方正大标宋简体"/>
          <w:sz w:val="44"/>
          <w:szCs w:val="44"/>
          <w:lang w:eastAsia="zh-CN"/>
        </w:rPr>
        <w:t>和林格尔县</w:t>
      </w:r>
      <w:r>
        <w:rPr>
          <w:rFonts w:hint="eastAsia" w:ascii="方正小标宋简体" w:hAnsi="黑体" w:eastAsia="方正小标宋简体" w:cs="方正大标宋简体"/>
          <w:sz w:val="44"/>
          <w:szCs w:val="44"/>
        </w:rPr>
        <w:t>教育系统安全信息报送月报表</w:t>
      </w:r>
    </w:p>
    <w:p>
      <w:pPr>
        <w:spacing w:after="156" w:afterLines="50"/>
        <w:rPr>
          <w:rFonts w:hint="eastAsia"/>
          <w:sz w:val="24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学校、幼儿园（公章）：</w:t>
      </w:r>
      <w:r>
        <w:rPr>
          <w:rFonts w:hint="eastAsia"/>
          <w:sz w:val="24"/>
        </w:rPr>
        <w:t xml:space="preserve">                                           </w:t>
      </w:r>
      <w:r>
        <w:rPr>
          <w:rFonts w:hint="eastAsia" w:ascii="仿宋" w:hAnsi="仿宋" w:eastAsia="仿宋"/>
          <w:color w:val="000000"/>
          <w:sz w:val="32"/>
          <w:szCs w:val="32"/>
        </w:rPr>
        <w:t>报表时间：      年    月    日</w:t>
      </w:r>
    </w:p>
    <w:tbl>
      <w:tblPr>
        <w:tblStyle w:val="6"/>
        <w:tblW w:w="1480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6095"/>
        <w:gridCol w:w="3686"/>
        <w:gridCol w:w="3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169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序号</w:t>
            </w:r>
          </w:p>
        </w:tc>
        <w:tc>
          <w:tcPr>
            <w:tcW w:w="609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信息题目</w:t>
            </w:r>
          </w:p>
        </w:tc>
        <w:tc>
          <w:tcPr>
            <w:tcW w:w="368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信息发布情况</w:t>
            </w:r>
          </w:p>
        </w:tc>
        <w:tc>
          <w:tcPr>
            <w:tcW w:w="332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  <w:jc w:val="center"/>
        </w:trPr>
        <w:tc>
          <w:tcPr>
            <w:tcW w:w="169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609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368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332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  <w:jc w:val="center"/>
        </w:trPr>
        <w:tc>
          <w:tcPr>
            <w:tcW w:w="169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609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368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332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</w:tbl>
    <w:p>
      <w:pPr>
        <w:rPr>
          <w:rFonts w:hint="eastAsia"/>
          <w:sz w:val="32"/>
          <w:szCs w:val="32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left"/>
        <w:rPr>
          <w:rFonts w:hint="eastAsia" w:ascii="仿宋_GB2312" w:hAnsi="黑体" w:eastAsia="仿宋_GB2312" w:cs="方正大标宋简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附件4</w:t>
      </w:r>
    </w:p>
    <w:p>
      <w:pPr>
        <w:jc w:val="center"/>
        <w:rPr>
          <w:rFonts w:hint="eastAsia" w:ascii="方正小标宋简体" w:hAnsi="黑体" w:eastAsia="方正小标宋简体" w:cs="方正大标宋简体"/>
          <w:sz w:val="44"/>
          <w:szCs w:val="44"/>
        </w:rPr>
      </w:pPr>
      <w:r>
        <w:rPr>
          <w:rFonts w:hint="eastAsia" w:ascii="方正小标宋简体" w:hAnsi="黑体" w:eastAsia="方正小标宋简体" w:cs="方正大标宋简体"/>
          <w:sz w:val="44"/>
          <w:szCs w:val="44"/>
          <w:lang w:eastAsia="zh-CN"/>
        </w:rPr>
        <w:t>和林格尔县</w:t>
      </w:r>
      <w:r>
        <w:rPr>
          <w:rFonts w:hint="eastAsia" w:ascii="方正小标宋简体" w:hAnsi="黑体" w:eastAsia="方正小标宋简体" w:cs="方正大标宋简体"/>
          <w:sz w:val="44"/>
          <w:szCs w:val="44"/>
        </w:rPr>
        <w:t>教育系统安全宣传工作月报表</w:t>
      </w:r>
    </w:p>
    <w:p>
      <w:pPr>
        <w:spacing w:after="156" w:afterLines="5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学校、幼儿园（公章）：</w:t>
      </w:r>
      <w:r>
        <w:rPr>
          <w:rFonts w:hint="eastAsia"/>
          <w:sz w:val="24"/>
        </w:rPr>
        <w:t xml:space="preserve">                                            </w:t>
      </w:r>
      <w:r>
        <w:rPr>
          <w:rFonts w:hint="eastAsia" w:ascii="仿宋" w:hAnsi="仿宋" w:eastAsia="仿宋"/>
          <w:color w:val="000000"/>
          <w:sz w:val="32"/>
          <w:szCs w:val="32"/>
        </w:rPr>
        <w:t>报表时间：      年    月    日</w:t>
      </w:r>
    </w:p>
    <w:tbl>
      <w:tblPr>
        <w:tblStyle w:val="6"/>
        <w:tblW w:w="1456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559"/>
        <w:gridCol w:w="1418"/>
        <w:gridCol w:w="1559"/>
        <w:gridCol w:w="1418"/>
        <w:gridCol w:w="1701"/>
        <w:gridCol w:w="1189"/>
        <w:gridCol w:w="1843"/>
        <w:gridCol w:w="1701"/>
        <w:gridCol w:w="1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项目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交通安全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消防安全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禁毒宣传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反邪教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防灾减灾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防溺水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防校园欺凌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疏散演练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校园贷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次</w:t>
            </w:r>
          </w:p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数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189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362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合</w:t>
            </w:r>
          </w:p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计</w:t>
            </w:r>
          </w:p>
        </w:tc>
        <w:tc>
          <w:tcPr>
            <w:tcW w:w="13750" w:type="dxa"/>
            <w:gridSpan w:val="9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</w:tbl>
    <w:p>
      <w:pPr>
        <w:jc w:val="right"/>
      </w:pPr>
      <w:r>
        <w:rPr>
          <w:rFonts w:hint="eastAsia"/>
        </w:rPr>
        <w:t>（此表可复印）</w:t>
      </w:r>
    </w:p>
    <w:p>
      <w:pPr>
        <w:topLinePunct/>
        <w:spacing w:line="620" w:lineRule="exact"/>
        <w:rPr>
          <w:rFonts w:hint="eastAsia"/>
          <w:sz w:val="32"/>
          <w:szCs w:val="32"/>
        </w:rPr>
      </w:pPr>
    </w:p>
    <w:p>
      <w:pPr>
        <w:topLinePunct/>
        <w:spacing w:line="62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附件5</w:t>
      </w:r>
    </w:p>
    <w:p>
      <w:pPr>
        <w:jc w:val="center"/>
        <w:rPr>
          <w:rFonts w:hint="eastAsia" w:ascii="方正小标宋简体" w:hAnsi="黑体" w:eastAsia="方正小标宋简体" w:cs="方正大标宋简体"/>
          <w:sz w:val="44"/>
          <w:szCs w:val="44"/>
        </w:rPr>
      </w:pPr>
      <w:r>
        <w:rPr>
          <w:rFonts w:hint="eastAsia" w:ascii="方正小标宋简体" w:hAnsi="黑体" w:eastAsia="方正小标宋简体" w:cs="方正大标宋简体"/>
          <w:sz w:val="44"/>
          <w:szCs w:val="44"/>
          <w:lang w:eastAsia="zh-CN"/>
        </w:rPr>
        <w:t>和林格尔县</w:t>
      </w:r>
      <w:r>
        <w:rPr>
          <w:rFonts w:hint="eastAsia" w:ascii="方正小标宋简体" w:hAnsi="黑体" w:eastAsia="方正小标宋简体" w:cs="方正大标宋简体"/>
          <w:sz w:val="44"/>
          <w:szCs w:val="44"/>
        </w:rPr>
        <w:t>教育系统2019年安全工作进度表</w:t>
      </w:r>
    </w:p>
    <w:p>
      <w:pPr>
        <w:jc w:val="center"/>
        <w:rPr>
          <w:rFonts w:hint="eastAsia" w:ascii="黑体" w:hAnsi="黑体" w:eastAsia="黑体"/>
          <w:sz w:val="24"/>
        </w:rPr>
      </w:pPr>
    </w:p>
    <w:p>
      <w:pPr>
        <w:spacing w:after="156" w:afterLines="50"/>
        <w:rPr>
          <w:rFonts w:hint="eastAsia"/>
          <w:sz w:val="24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学校、幼儿园（公章）：</w:t>
      </w:r>
      <w:r>
        <w:rPr>
          <w:rFonts w:hint="eastAsia"/>
          <w:sz w:val="24"/>
        </w:rPr>
        <w:t xml:space="preserve">                                              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报表时间：      年    月  </w:t>
      </w:r>
      <w:r>
        <w:rPr>
          <w:rFonts w:hint="eastAsia"/>
          <w:sz w:val="24"/>
        </w:rPr>
        <w:t xml:space="preserve">  日</w:t>
      </w:r>
    </w:p>
    <w:tbl>
      <w:tblPr>
        <w:tblStyle w:val="6"/>
        <w:tblW w:w="1468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9"/>
        <w:gridCol w:w="2835"/>
        <w:gridCol w:w="3686"/>
        <w:gridCol w:w="4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333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项目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学校数</w:t>
            </w:r>
          </w:p>
        </w:tc>
        <w:tc>
          <w:tcPr>
            <w:tcW w:w="368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完成数</w:t>
            </w:r>
          </w:p>
        </w:tc>
        <w:tc>
          <w:tcPr>
            <w:tcW w:w="482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333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警务室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368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482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333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微型消防站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368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482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333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防冲撞设施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368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822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333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应急避难场所标牌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368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822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</w:tbl>
    <w:p>
      <w:pPr>
        <w:topLinePunct/>
        <w:spacing w:line="62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附件6</w:t>
      </w:r>
    </w:p>
    <w:p>
      <w:pPr>
        <w:rPr>
          <w:rFonts w:hint="eastAsia"/>
        </w:rPr>
      </w:pPr>
    </w:p>
    <w:p>
      <w:pPr>
        <w:topLinePunct/>
        <w:spacing w:line="600" w:lineRule="exact"/>
        <w:jc w:val="center"/>
        <w:rPr>
          <w:rFonts w:hint="eastAsia" w:ascii="方正小标宋简体" w:hAnsi="仿宋" w:eastAsia="方正小标宋简体"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/>
          <w:color w:val="000000"/>
          <w:sz w:val="44"/>
          <w:szCs w:val="44"/>
        </w:rPr>
        <w:t>和林格尔县教育系统安全生产事故隐患排查治理情况月报表</w:t>
      </w:r>
    </w:p>
    <w:p>
      <w:pPr>
        <w:topLinePunct/>
        <w:spacing w:line="600" w:lineRule="exact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学校、幼儿园（公章）：</w:t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 xml:space="preserve">                </w:t>
      </w:r>
    </w:p>
    <w:tbl>
      <w:tblPr>
        <w:tblStyle w:val="7"/>
        <w:tblW w:w="139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1164"/>
        <w:gridCol w:w="764"/>
        <w:gridCol w:w="907"/>
        <w:gridCol w:w="850"/>
        <w:gridCol w:w="764"/>
        <w:gridCol w:w="907"/>
        <w:gridCol w:w="907"/>
        <w:gridCol w:w="764"/>
        <w:gridCol w:w="1050"/>
        <w:gridCol w:w="1050"/>
        <w:gridCol w:w="993"/>
        <w:gridCol w:w="936"/>
        <w:gridCol w:w="964"/>
        <w:gridCol w:w="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开展排查治理事故隐患的生产经营单位</w:t>
            </w:r>
          </w:p>
        </w:tc>
        <w:tc>
          <w:tcPr>
            <w:tcW w:w="2521" w:type="dxa"/>
            <w:gridSpan w:val="3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一般事故隐患</w:t>
            </w:r>
          </w:p>
        </w:tc>
        <w:tc>
          <w:tcPr>
            <w:tcW w:w="75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重大事故隐患</w:t>
            </w:r>
          </w:p>
        </w:tc>
        <w:tc>
          <w:tcPr>
            <w:tcW w:w="87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累计落实隐患治理资金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521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5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排查治理重大隐患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列入治理计划</w:t>
            </w:r>
          </w:p>
        </w:tc>
        <w:tc>
          <w:tcPr>
            <w:tcW w:w="28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其中：挂牌督办</w:t>
            </w:r>
          </w:p>
        </w:tc>
        <w:tc>
          <w:tcPr>
            <w:tcW w:w="87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2" w:hRule="atLeast"/>
        </w:trPr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应排查治理事故隐患的经营单位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实际排查治理事故隐患的生产经营单位</w:t>
            </w:r>
          </w:p>
        </w:tc>
        <w:tc>
          <w:tcPr>
            <w:tcW w:w="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覆盖率</w:t>
            </w: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排查一般事故隐患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其中：已整改</w:t>
            </w:r>
          </w:p>
        </w:tc>
        <w:tc>
          <w:tcPr>
            <w:tcW w:w="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整改率</w:t>
            </w: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排查重大事故隐患</w:t>
            </w: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其中：已整改销号</w:t>
            </w:r>
          </w:p>
        </w:tc>
        <w:tc>
          <w:tcPr>
            <w:tcW w:w="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整改率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列入治理计划的重大事故隐患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其中：达到“五到位”要求的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挂牌督办的重大事故隐患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其中：省级挂牌督办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其中：地市级挂牌督办</w:t>
            </w:r>
          </w:p>
        </w:tc>
        <w:tc>
          <w:tcPr>
            <w:tcW w:w="87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line="600" w:lineRule="exact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（家）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line="600" w:lineRule="exact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（家）</w:t>
            </w:r>
          </w:p>
        </w:tc>
        <w:tc>
          <w:tcPr>
            <w:tcW w:w="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line="600" w:lineRule="exact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（</w:t>
            </w:r>
            <w:r>
              <w:rPr>
                <w:rFonts w:hint="eastAsia" w:ascii="宋体" w:hAnsi="宋体"/>
                <w:kern w:val="0"/>
              </w:rPr>
              <w:t>﹪</w:t>
            </w:r>
            <w:r>
              <w:rPr>
                <w:rFonts w:hint="eastAsia" w:ascii="仿宋_GB2312" w:eastAsia="仿宋_GB2312"/>
                <w:kern w:val="0"/>
              </w:rPr>
              <w:t>）</w:t>
            </w: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line="600" w:lineRule="exact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（项）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line="600" w:lineRule="exact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（项）</w:t>
            </w:r>
          </w:p>
        </w:tc>
        <w:tc>
          <w:tcPr>
            <w:tcW w:w="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line="600" w:lineRule="exact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（</w:t>
            </w:r>
            <w:r>
              <w:rPr>
                <w:rFonts w:hint="eastAsia" w:ascii="宋体" w:hAnsi="宋体"/>
                <w:kern w:val="0"/>
              </w:rPr>
              <w:t>﹪</w:t>
            </w:r>
            <w:r>
              <w:rPr>
                <w:rFonts w:hint="eastAsia" w:ascii="仿宋_GB2312" w:eastAsia="仿宋_GB2312"/>
                <w:kern w:val="0"/>
              </w:rPr>
              <w:t>）</w:t>
            </w: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line="600" w:lineRule="exact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（项）</w:t>
            </w: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line="600" w:lineRule="exact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（项）</w:t>
            </w:r>
          </w:p>
        </w:tc>
        <w:tc>
          <w:tcPr>
            <w:tcW w:w="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line="600" w:lineRule="exact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（</w:t>
            </w:r>
            <w:r>
              <w:rPr>
                <w:rFonts w:hint="eastAsia" w:ascii="宋体" w:hAnsi="宋体"/>
                <w:kern w:val="0"/>
              </w:rPr>
              <w:t>﹪</w:t>
            </w:r>
            <w:r>
              <w:rPr>
                <w:rFonts w:hint="eastAsia" w:ascii="仿宋_GB2312" w:eastAsia="仿宋_GB2312"/>
                <w:kern w:val="0"/>
              </w:rPr>
              <w:t>）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line="600" w:lineRule="exact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（项）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line="600" w:lineRule="exact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（项）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line="600" w:lineRule="exact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（项）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line="600" w:lineRule="exact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（项）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line="600" w:lineRule="exact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（项）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line="600" w:lineRule="exact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line="6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line="6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line="6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line="6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line="6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line="6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line="6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line="6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line="6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line="6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line="6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line="6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line="6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line="6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line="6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</w:tbl>
    <w:p>
      <w:pPr>
        <w:topLinePunct/>
        <w:spacing w:line="600" w:lineRule="exact"/>
        <w:rPr>
          <w:rFonts w:hint="default" w:ascii="仿宋_GB2312" w:eastAsia="仿宋_GB2312"/>
          <w:kern w:val="0"/>
          <w:sz w:val="32"/>
          <w:szCs w:val="32"/>
          <w:u w:val="single"/>
          <w:lang w:val="en-US" w:eastAsia="zh-CN"/>
        </w:rPr>
        <w:sectPr>
          <w:pgSz w:w="16838" w:h="11906" w:orient="landscape"/>
          <w:pgMar w:top="1587" w:right="1440" w:bottom="1587" w:left="1644" w:header="720" w:footer="720" w:gutter="0"/>
          <w:cols w:space="720" w:num="1"/>
          <w:rtlGutter w:val="0"/>
          <w:docGrid w:type="lines" w:linePitch="323" w:charSpace="0"/>
        </w:sectPr>
      </w:pPr>
      <w:r>
        <w:rPr>
          <w:rFonts w:hint="eastAsia" w:ascii="仿宋_GB2312" w:eastAsia="仿宋_GB2312"/>
          <w:kern w:val="0"/>
          <w:sz w:val="32"/>
          <w:szCs w:val="32"/>
        </w:rPr>
        <w:t>审核人：</w:t>
      </w:r>
      <w:r>
        <w:rPr>
          <w:rFonts w:hint="eastAsia" w:ascii="仿宋_GB2312" w:eastAsia="仿宋_GB2312"/>
          <w:kern w:val="0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kern w:val="0"/>
          <w:sz w:val="32"/>
          <w:szCs w:val="32"/>
        </w:rPr>
        <w:t xml:space="preserve">  填表人：</w:t>
      </w:r>
      <w:r>
        <w:rPr>
          <w:rFonts w:hint="eastAsia" w:ascii="仿宋_GB2312" w:eastAsia="仿宋_GB2312"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kern w:val="0"/>
          <w:sz w:val="32"/>
          <w:szCs w:val="32"/>
        </w:rPr>
        <w:t xml:space="preserve">  联系电话：</w:t>
      </w:r>
      <w:r>
        <w:rPr>
          <w:rFonts w:hint="eastAsia" w:ascii="仿宋_GB2312" w:eastAsia="仿宋_GB2312"/>
          <w:kern w:val="0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kern w:val="0"/>
          <w:sz w:val="32"/>
          <w:szCs w:val="32"/>
        </w:rPr>
        <w:t xml:space="preserve">  填报日期：</w:t>
      </w:r>
      <w:r>
        <w:rPr>
          <w:rFonts w:hint="eastAsia" w:ascii="仿宋_GB2312" w:eastAsia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kern w:val="0"/>
          <w:sz w:val="32"/>
          <w:szCs w:val="32"/>
          <w:u w:val="single"/>
          <w:lang w:val="en-US" w:eastAsia="zh-CN"/>
        </w:rPr>
        <w:t xml:space="preserve">  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061E2A"/>
    <w:rsid w:val="7D06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link w:val="9"/>
    <w:semiHidden/>
    <w:uiPriority w:val="0"/>
    <w:rPr>
      <w:rFonts w:ascii="宋体" w:hAnsi="宋体" w:eastAsia="楷体_GB2312" w:cs="宋体"/>
      <w:kern w:val="2"/>
      <w:sz w:val="24"/>
      <w:szCs w:val="24"/>
      <w:lang w:val="en-US" w:eastAsia="zh-CN" w:bidi="ar-SA"/>
    </w:rPr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 w:afterLines="0"/>
      <w:ind w:left="420" w:leftChars="200" w:firstLine="420" w:firstLineChars="200"/>
    </w:pPr>
    <w:rPr>
      <w:rFonts w:ascii="Times New Roman" w:eastAsia="宋体"/>
      <w:sz w:val="21"/>
    </w:rPr>
  </w:style>
  <w:style w:type="paragraph" w:styleId="3">
    <w:name w:val="Body Text Indent"/>
    <w:basedOn w:val="1"/>
    <w:uiPriority w:val="0"/>
    <w:pPr>
      <w:ind w:firstLine="552"/>
    </w:pPr>
    <w:rPr>
      <w:rFonts w:ascii="楷体_GB2312" w:eastAsia="楷体_GB2312"/>
      <w:sz w:val="32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9">
    <w:name w:val="Char"/>
    <w:next w:val="1"/>
    <w:link w:val="8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宋体" w:hAnsi="宋体" w:eastAsia="楷体_GB2312" w:cs="宋体"/>
      <w:kern w:val="2"/>
      <w:sz w:val="24"/>
      <w:szCs w:val="24"/>
      <w:lang w:val="en-US" w:eastAsia="zh-CN" w:bidi="ar-SA"/>
    </w:rPr>
  </w:style>
  <w:style w:type="character" w:styleId="10">
    <w:name w:val="page number"/>
    <w:basedOn w:val="8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2020-01-14T08:26:00Z</dcterms:created>
  <dc:creator>李翀</dc:creator>
  <cp:lastModifiedBy>李翀</cp:lastModifiedBy>
  <dcterms:modified xsi:type="dcterms:W3CDTF">2020-01-14T08:26:25Z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