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975" w:type="dxa"/>
        <w:tblInd w:w="93" w:type="dxa"/>
        <w:tblLayout w:type="fixed"/>
        <w:tblCellMar>
          <w:top w:w="0" w:type="dxa"/>
          <w:left w:w="108" w:type="dxa"/>
          <w:bottom w:w="0" w:type="dxa"/>
          <w:right w:w="108" w:type="dxa"/>
        </w:tblCellMar>
      </w:tblPr>
      <w:tblGrid>
        <w:gridCol w:w="586"/>
        <w:gridCol w:w="3763"/>
        <w:gridCol w:w="1309"/>
        <w:gridCol w:w="6477"/>
        <w:gridCol w:w="1840"/>
      </w:tblGrid>
      <w:tr>
        <w:tblPrEx>
          <w:tblCellMar>
            <w:top w:w="0" w:type="dxa"/>
            <w:left w:w="108" w:type="dxa"/>
            <w:bottom w:w="0" w:type="dxa"/>
            <w:right w:w="108" w:type="dxa"/>
          </w:tblCellMar>
        </w:tblPrEx>
        <w:trPr>
          <w:trHeight w:val="680" w:hRule="atLeast"/>
        </w:trPr>
        <w:tc>
          <w:tcPr>
            <w:tcW w:w="13975" w:type="dxa"/>
            <w:gridSpan w:val="5"/>
            <w:tcBorders>
              <w:top w:val="nil"/>
              <w:left w:val="nil"/>
              <w:bottom w:val="nil"/>
              <w:right w:val="nil"/>
            </w:tcBorders>
            <w:vAlign w:val="center"/>
          </w:tcPr>
          <w:p>
            <w:pPr>
              <w:widowControl/>
              <w:textAlignment w:val="center"/>
              <w:rPr>
                <w:rFonts w:ascii="方正小标宋简体" w:hAnsi="方正小标宋简体" w:eastAsia="方正小标宋简体" w:cs="方正小标宋简体"/>
                <w:color w:val="000000"/>
                <w:kern w:val="0"/>
                <w:sz w:val="24"/>
              </w:rPr>
            </w:pPr>
            <w:r>
              <w:rPr>
                <w:rFonts w:hint="eastAsia" w:ascii="方正小标宋简体" w:hAnsi="方正小标宋简体" w:eastAsia="方正小标宋简体" w:cs="方正小标宋简体"/>
                <w:color w:val="000000"/>
                <w:kern w:val="0"/>
                <w:sz w:val="32"/>
                <w:szCs w:val="32"/>
              </w:rPr>
              <w:t xml:space="preserve">附件 </w:t>
            </w:r>
            <w:r>
              <w:rPr>
                <w:rFonts w:hint="eastAsia" w:ascii="方正小标宋简体" w:hAnsi="方正小标宋简体" w:eastAsia="方正小标宋简体" w:cs="方正小标宋简体"/>
                <w:color w:val="000000"/>
                <w:kern w:val="0"/>
                <w:sz w:val="24"/>
              </w:rPr>
              <w:t xml:space="preserve">            </w:t>
            </w:r>
            <w:bookmarkStart w:id="0" w:name="_GoBack"/>
            <w:bookmarkEnd w:id="0"/>
            <w:r>
              <w:rPr>
                <w:rFonts w:hint="eastAsia" w:ascii="方正小标宋简体" w:hAnsi="方正小标宋简体" w:eastAsia="方正小标宋简体" w:cs="方正小标宋简体"/>
                <w:color w:val="000000"/>
                <w:kern w:val="0"/>
                <w:sz w:val="24"/>
              </w:rPr>
              <w:t xml:space="preserve">     </w:t>
            </w:r>
            <w:r>
              <w:rPr>
                <w:rFonts w:hint="eastAsia" w:ascii="方正小标宋简体" w:hAnsi="方正小标宋简体" w:eastAsia="方正小标宋简体" w:cs="方正小标宋简体"/>
                <w:color w:val="000000"/>
                <w:kern w:val="0"/>
                <w:sz w:val="32"/>
                <w:szCs w:val="32"/>
              </w:rPr>
              <w:t xml:space="preserve">        和林格尔县乡镇行政执法权力事项清单</w:t>
            </w:r>
          </w:p>
        </w:tc>
      </w:tr>
      <w:tr>
        <w:tblPrEx>
          <w:tblCellMar>
            <w:top w:w="0" w:type="dxa"/>
            <w:left w:w="108" w:type="dxa"/>
            <w:bottom w:w="0" w:type="dxa"/>
            <w:right w:w="108" w:type="dxa"/>
          </w:tblCellMar>
        </w:tblPrEx>
        <w:trPr>
          <w:trHeight w:val="833"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64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37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rPr>
            </w:pPr>
            <w:r>
              <w:rPr>
                <w:rFonts w:hint="eastAsia" w:ascii="宋体" w:hAnsi="宋体" w:cs="宋体"/>
                <w:color w:val="000000"/>
                <w:kern w:val="0"/>
                <w:sz w:val="24"/>
              </w:rPr>
              <w:t>对占用耕地建窑、建坟或者擅自在耕地上建房、挖砂、采石、采矿、取土等，破坏种植条件的，或者因开发土地造成土地荒漠化、盐渍化的处罚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rPr>
            </w:pPr>
            <w:r>
              <w:rPr>
                <w:rFonts w:hint="eastAsia" w:ascii="宋体" w:hAnsi="宋体" w:cs="宋体"/>
                <w:color w:val="000000"/>
                <w:kern w:val="0"/>
                <w:sz w:val="24"/>
              </w:rPr>
              <w:t>《中华人民共和国土地管理法》第七十五条</w:t>
            </w:r>
            <w:r>
              <w:rPr>
                <w:rFonts w:hint="eastAsia" w:ascii="宋体" w:hAnsi="宋体" w:cs="宋体"/>
                <w:color w:val="000000"/>
                <w:kern w:val="0"/>
                <w:sz w:val="24"/>
              </w:rPr>
              <w:br w:type="textWrapping"/>
            </w:r>
            <w:r>
              <w:rPr>
                <w:rFonts w:hint="eastAsia" w:ascii="宋体" w:hAnsi="宋体" w:cs="宋体"/>
                <w:color w:val="000000"/>
                <w:kern w:val="0"/>
                <w:sz w:val="24"/>
              </w:rPr>
              <w:t>《中华人民共和国土地管理法实施条例》第五十五条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225"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37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rPr>
            </w:pPr>
            <w:r>
              <w:rPr>
                <w:rFonts w:hint="eastAsia" w:ascii="宋体" w:hAnsi="宋体" w:cs="宋体"/>
                <w:color w:val="000000"/>
                <w:kern w:val="0"/>
                <w:sz w:val="24"/>
              </w:rPr>
              <w:t>对未经批准或者采取欺骗手段骗取批准，非法占用土地的处罚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rPr>
            </w:pPr>
            <w:r>
              <w:rPr>
                <w:rFonts w:hint="eastAsia" w:ascii="宋体" w:hAnsi="宋体" w:cs="宋体"/>
                <w:color w:val="000000"/>
                <w:kern w:val="0"/>
                <w:sz w:val="24"/>
              </w:rPr>
              <w:t>《中华人民共和国土地管理法》第七十七条</w:t>
            </w:r>
            <w:r>
              <w:rPr>
                <w:rFonts w:hint="eastAsia" w:ascii="宋体" w:hAnsi="宋体" w:cs="宋体"/>
                <w:color w:val="000000"/>
                <w:kern w:val="0"/>
                <w:sz w:val="24"/>
              </w:rPr>
              <w:br w:type="textWrapping"/>
            </w:r>
            <w:r>
              <w:rPr>
                <w:rFonts w:hint="eastAsia" w:ascii="宋体" w:hAnsi="宋体" w:cs="宋体"/>
                <w:color w:val="000000"/>
                <w:kern w:val="0"/>
                <w:sz w:val="24"/>
              </w:rPr>
              <w:t>《中华人民共和国土地管理法实施条例》第五十七条第一款</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49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37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rPr>
            </w:pPr>
            <w:r>
              <w:rPr>
                <w:rFonts w:hint="eastAsia" w:ascii="宋体" w:hAnsi="宋体" w:cs="宋体"/>
                <w:color w:val="000000"/>
                <w:kern w:val="0"/>
                <w:sz w:val="24"/>
              </w:rPr>
              <w:t>对占用基本农田建窑、建房、建坟、挖砂、采石、采矿、取土、堆放固体废弃物或者从事其他活动破坏基本农田，毁坏种植条件的处罚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rPr>
            </w:pPr>
            <w:r>
              <w:rPr>
                <w:rFonts w:hint="eastAsia" w:ascii="宋体" w:hAnsi="宋体" w:cs="宋体"/>
                <w:color w:val="000000"/>
                <w:kern w:val="0"/>
                <w:sz w:val="24"/>
              </w:rPr>
              <w:t>《基本农田保护条例》第三十三条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44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3763" w:type="dxa"/>
            <w:tcBorders>
              <w:top w:val="single" w:color="000000" w:sz="4" w:space="0"/>
              <w:left w:val="nil"/>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rPr>
            </w:pPr>
            <w:r>
              <w:rPr>
                <w:rFonts w:hint="eastAsia" w:ascii="宋体" w:hAnsi="宋体" w:cs="宋体"/>
                <w:color w:val="000000"/>
                <w:kern w:val="0"/>
                <w:sz w:val="24"/>
              </w:rPr>
              <w:t>对擅自在草原上开展经营性旅游活动，破坏草原植被的处罚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rPr>
            </w:pPr>
            <w:r>
              <w:rPr>
                <w:rFonts w:hint="eastAsia" w:ascii="宋体" w:hAnsi="宋体" w:cs="宋体"/>
                <w:color w:val="000000"/>
                <w:kern w:val="0"/>
                <w:sz w:val="24"/>
              </w:rPr>
              <w:t>《中华人民共和国草原法》第五十二条、第六十九条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197"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376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宋体" w:hAnsi="宋体" w:cs="宋体"/>
                <w:color w:val="000000"/>
                <w:sz w:val="24"/>
              </w:rPr>
            </w:pPr>
            <w:r>
              <w:rPr>
                <w:rFonts w:hint="eastAsia" w:ascii="宋体" w:hAnsi="宋体" w:cs="宋体"/>
                <w:color w:val="000000"/>
                <w:kern w:val="0"/>
                <w:sz w:val="24"/>
              </w:rPr>
              <w:t>对买卖或者以其他形式非法转让草原的处罚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《中华人民共和国草原法》第六十四条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376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宋体" w:hAnsi="宋体" w:cs="宋体"/>
                <w:color w:val="000000"/>
                <w:sz w:val="24"/>
              </w:rPr>
            </w:pPr>
            <w:r>
              <w:rPr>
                <w:rFonts w:hint="eastAsia" w:ascii="宋体" w:hAnsi="宋体" w:cs="宋体"/>
                <w:color w:val="000000"/>
                <w:kern w:val="0"/>
                <w:sz w:val="24"/>
              </w:rPr>
              <w:t>对机动车辆离开道路在草原上行驶,或者未按照确定的行驶区域和行驶路线在草原上行驶，破坏草原植被的处罚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《中华人民共和国草原法》第七十条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3763"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对不签订草畜平衡责任书的处罚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宋体" w:hAnsi="宋体" w:cs="宋体"/>
                <w:color w:val="000000"/>
                <w:sz w:val="24"/>
              </w:rPr>
            </w:pPr>
            <w:r>
              <w:rPr>
                <w:rFonts w:hint="eastAsia" w:ascii="宋体" w:hAnsi="宋体" w:cs="宋体"/>
                <w:color w:val="000000"/>
                <w:kern w:val="0"/>
                <w:sz w:val="24"/>
              </w:rPr>
              <w:t>《内蒙古自治区草原管理条例》第三十一条、第四十六条第二款</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966"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376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宋体" w:hAnsi="宋体" w:cs="宋体"/>
                <w:color w:val="000000"/>
                <w:sz w:val="24"/>
              </w:rPr>
            </w:pPr>
            <w:r>
              <w:rPr>
                <w:rFonts w:hint="eastAsia" w:ascii="宋体" w:hAnsi="宋体" w:cs="宋体"/>
                <w:color w:val="000000"/>
                <w:kern w:val="0"/>
                <w:sz w:val="24"/>
              </w:rPr>
              <w:t>对在基本草原上超过核定的载畜量放牧的处罚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《内蒙古自治区基本草原保护条例》第三十八条第一项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2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5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9</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对在实行禁牧休牧的基本草原上放牧的处罚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《内蒙古自治区基本草原保护条例》第三十八条第二项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10</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对草原围栏建设中因阻断道路对草原造成碾压破坏的处罚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《内蒙古自治区草原管理条例实施细则》第四十五条、第五十二条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11</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未对设在城市道路上的各种管线的检查井、箱盖或者城市道路附属设施的缺损及时补缺或者修复的处罚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《城市道路管理条例》第四十二条第一项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12</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对未在城市道路施工现场设置明显标志和安全防围设施的处罚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《城市道路管理条例》第四十二条第二项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5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615"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13</w:t>
            </w:r>
          </w:p>
        </w:tc>
        <w:tc>
          <w:tcPr>
            <w:tcW w:w="3763" w:type="dxa"/>
            <w:tcBorders>
              <w:top w:val="single" w:color="000000" w:sz="4" w:space="0"/>
              <w:left w:val="nil"/>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对占用城市道路期满或者挖掘城市道路后，不及时清理现场的处罚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《城市道路管理条例》第四十二条第三项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565"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14</w:t>
            </w:r>
          </w:p>
        </w:tc>
        <w:tc>
          <w:tcPr>
            <w:tcW w:w="3763" w:type="dxa"/>
            <w:tcBorders>
              <w:top w:val="single" w:color="000000" w:sz="4" w:space="0"/>
              <w:left w:val="nil"/>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对依附于城市道路建设各种管线、杆线等设施，不按照规定办理批准手续的处罚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《城市道路管理条例》第四十二条第四项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15</w:t>
            </w:r>
          </w:p>
        </w:tc>
        <w:tc>
          <w:tcPr>
            <w:tcW w:w="3763" w:type="dxa"/>
            <w:tcBorders>
              <w:top w:val="single" w:color="000000" w:sz="4" w:space="0"/>
              <w:left w:val="nil"/>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对紧急抢修埋设在城市道路下的管线，不按照规定补办批准手续的处罚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《城市道路管理条例》第四十二条第五项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16</w:t>
            </w:r>
          </w:p>
        </w:tc>
        <w:tc>
          <w:tcPr>
            <w:tcW w:w="3763" w:type="dxa"/>
            <w:tcBorders>
              <w:top w:val="single" w:color="000000" w:sz="4" w:space="0"/>
              <w:left w:val="nil"/>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对未按照批准的位置、面积、期限占用或者挖掘城市道路，或者需要移动位置、扩大面积、延长时间的，未提前办理变更审批手续的处罚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《城市道路管理条例》第四十二条第六项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4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52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17</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对在河道、湖泊管理范围内建设妨碍行洪的建筑物、构筑物的处罚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《中华人民共和国防洪法》第五十五条第一项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18</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对在河道、湖泊管理范围内倾倒垃圾、渣土，从事影响河势稳定、危害河岸堤防安全和其他妨碍河道行洪的活动的处罚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《中华人民共和国防洪法》第五十五条第二项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19</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对在江河、湖泊、水库、运河、渠道内弃置、堆放阻碍行洪的物体和种植阻碍行洪的林木及高秆作物的处罚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《中华人民共和国水法》第六十六条第一项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20</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对围湖造地或者未经批准围垦河道的处罚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《中华人民共和国水法》第六十六条第二项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48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5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21</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对在崩塌、滑坡危险区或者泥石流易发区从事取土、挖砂、采石等可能造成水土流失的活动的处罚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《中华人民共和国水土保持法》第四十八条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22</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对在禁止开垦坡度以上陡坡地开垦种植农作物，或者在禁止开垦、开发的植物保护带内开垦、开发的处罚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《中华人民共和国水土保持法》第四十九条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23</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对采集发菜，或者在水土流失重点预防区和重点治理区铲草皮、挖树兜、滥挖虫草、甘草、麻黄等的处罚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《中华人民共和国水土保持法》第五十一条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24</w:t>
            </w:r>
          </w:p>
        </w:tc>
        <w:tc>
          <w:tcPr>
            <w:tcW w:w="3763" w:type="dxa"/>
            <w:tcBorders>
              <w:top w:val="single" w:color="000000" w:sz="4" w:space="0"/>
              <w:left w:val="nil"/>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对在林区采伐林木不依法采取防止水土流失措施的处罚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《中华人民共和国水土保持法》第五十二条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43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43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5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25</w:t>
            </w:r>
          </w:p>
        </w:tc>
        <w:tc>
          <w:tcPr>
            <w:tcW w:w="3763" w:type="dxa"/>
            <w:tcBorders>
              <w:top w:val="single" w:color="000000" w:sz="4" w:space="0"/>
              <w:left w:val="nil"/>
              <w:bottom w:val="single" w:color="000000" w:sz="4" w:space="0"/>
              <w:right w:val="single" w:color="000000" w:sz="4" w:space="0"/>
            </w:tcBorders>
            <w:vAlign w:val="center"/>
          </w:tcPr>
          <w:p>
            <w:pPr>
              <w:widowControl/>
              <w:spacing w:line="430" w:lineRule="exact"/>
              <w:jc w:val="left"/>
              <w:textAlignment w:val="center"/>
              <w:rPr>
                <w:rFonts w:ascii="宋体" w:hAnsi="宋体" w:cs="宋体"/>
                <w:color w:val="000000"/>
                <w:sz w:val="24"/>
              </w:rPr>
            </w:pPr>
            <w:r>
              <w:rPr>
                <w:rFonts w:hint="eastAsia" w:ascii="宋体" w:hAnsi="宋体" w:cs="宋体"/>
                <w:color w:val="000000"/>
                <w:kern w:val="0"/>
                <w:sz w:val="24"/>
              </w:rPr>
              <w:t>对在水土保持方案确定的专门存放地以外的区域倾倒砂、石、土、矸石、尾矿、废渣等的处罚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《中华人民共和国水土保持法》第五十五条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26</w:t>
            </w:r>
          </w:p>
        </w:tc>
        <w:tc>
          <w:tcPr>
            <w:tcW w:w="3763" w:type="dxa"/>
            <w:tcBorders>
              <w:top w:val="single" w:color="000000" w:sz="4" w:space="0"/>
              <w:left w:val="nil"/>
              <w:bottom w:val="single" w:color="000000" w:sz="4" w:space="0"/>
              <w:right w:val="single" w:color="000000" w:sz="4" w:space="0"/>
            </w:tcBorders>
            <w:vAlign w:val="center"/>
          </w:tcPr>
          <w:p>
            <w:pPr>
              <w:widowControl/>
              <w:spacing w:line="430" w:lineRule="exact"/>
              <w:jc w:val="left"/>
              <w:textAlignment w:val="center"/>
              <w:rPr>
                <w:rFonts w:ascii="宋体" w:hAnsi="宋体" w:cs="宋体"/>
                <w:color w:val="000000"/>
                <w:sz w:val="24"/>
              </w:rPr>
            </w:pPr>
            <w:r>
              <w:rPr>
                <w:rFonts w:hint="eastAsia" w:ascii="宋体" w:hAnsi="宋体" w:cs="宋体"/>
                <w:color w:val="000000"/>
                <w:kern w:val="0"/>
                <w:sz w:val="24"/>
              </w:rPr>
              <w:t>对开办生产建设项目或者从事其他生产建设活动造成水土流失不进行治理的处罚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《中华人民共和国水土保持法》第五十六条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27</w:t>
            </w:r>
          </w:p>
        </w:tc>
        <w:tc>
          <w:tcPr>
            <w:tcW w:w="3763" w:type="dxa"/>
            <w:tcBorders>
              <w:top w:val="single" w:color="000000" w:sz="4" w:space="0"/>
              <w:left w:val="nil"/>
              <w:bottom w:val="single" w:color="000000" w:sz="4" w:space="0"/>
              <w:right w:val="single" w:color="000000" w:sz="4" w:space="0"/>
            </w:tcBorders>
            <w:vAlign w:val="center"/>
          </w:tcPr>
          <w:p>
            <w:pPr>
              <w:widowControl/>
              <w:spacing w:line="430" w:lineRule="exact"/>
              <w:jc w:val="left"/>
              <w:textAlignment w:val="center"/>
              <w:rPr>
                <w:rFonts w:ascii="宋体" w:hAnsi="宋体" w:cs="宋体"/>
                <w:color w:val="000000"/>
                <w:sz w:val="24"/>
              </w:rPr>
            </w:pPr>
            <w:r>
              <w:rPr>
                <w:rFonts w:hint="eastAsia" w:ascii="宋体" w:hAnsi="宋体" w:cs="宋体"/>
                <w:color w:val="000000"/>
                <w:kern w:val="0"/>
                <w:sz w:val="24"/>
              </w:rPr>
              <w:t>对在河道管理范围内弃置、堆放阻碍行洪物体的；种植阻碍行洪的林木或者高秆植物的；修建围堤、阻水渠道、阻水道路的处罚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《中华人民共和国河道管理条例》第四十四条第一项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28</w:t>
            </w:r>
          </w:p>
        </w:tc>
        <w:tc>
          <w:tcPr>
            <w:tcW w:w="3763" w:type="dxa"/>
            <w:tcBorders>
              <w:top w:val="single" w:color="000000" w:sz="4" w:space="0"/>
              <w:left w:val="nil"/>
              <w:bottom w:val="single" w:color="000000" w:sz="4" w:space="0"/>
              <w:right w:val="single" w:color="000000" w:sz="4" w:space="0"/>
            </w:tcBorders>
            <w:vAlign w:val="center"/>
          </w:tcPr>
          <w:p>
            <w:pPr>
              <w:widowControl/>
              <w:spacing w:line="430" w:lineRule="exact"/>
              <w:jc w:val="left"/>
              <w:textAlignment w:val="center"/>
              <w:rPr>
                <w:rFonts w:ascii="宋体" w:hAnsi="宋体" w:cs="宋体"/>
                <w:color w:val="000000"/>
                <w:sz w:val="24"/>
              </w:rPr>
            </w:pPr>
            <w:r>
              <w:rPr>
                <w:rFonts w:hint="eastAsia" w:ascii="宋体" w:hAnsi="宋体" w:cs="宋体"/>
                <w:color w:val="000000"/>
                <w:kern w:val="0"/>
                <w:sz w:val="24"/>
              </w:rPr>
              <w:t>对在堤防、护堤地建房、放牧、开渠、打井、挖窖、葬坟、晒粮、存放物料、开采地下资源、进行考古发掘以及开展集市贸易活动的处罚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《中华人民共和国河道管理条例》第四十四条第二项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3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5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5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29</w:t>
            </w:r>
          </w:p>
        </w:tc>
        <w:tc>
          <w:tcPr>
            <w:tcW w:w="3763" w:type="dxa"/>
            <w:tcBorders>
              <w:top w:val="single" w:color="000000" w:sz="4" w:space="0"/>
              <w:left w:val="nil"/>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对擅自砍伐护堤护岸林木的处罚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《中华人民共和国河道管理条例》第四十四条第七项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30</w:t>
            </w:r>
          </w:p>
        </w:tc>
        <w:tc>
          <w:tcPr>
            <w:tcW w:w="3763" w:type="dxa"/>
            <w:tcBorders>
              <w:top w:val="single" w:color="000000" w:sz="4" w:space="0"/>
              <w:left w:val="nil"/>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对在堤防安全保护区内进行打井、钻探、爆破、挖筑鱼塘、采石、取土等危害堤防安全的活动的处罚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《中华人民共和国河道管理条例》第四十五条第二项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31</w:t>
            </w:r>
          </w:p>
        </w:tc>
        <w:tc>
          <w:tcPr>
            <w:tcW w:w="3763" w:type="dxa"/>
            <w:tcBorders>
              <w:top w:val="single" w:color="000000" w:sz="4" w:space="0"/>
              <w:left w:val="nil"/>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对侵占、破坏水源和抗旱设施的处罚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《中华人民共和国抗旱条例》第六十一条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32</w:t>
            </w:r>
          </w:p>
        </w:tc>
        <w:tc>
          <w:tcPr>
            <w:tcW w:w="3763" w:type="dxa"/>
            <w:tcBorders>
              <w:top w:val="single" w:color="000000" w:sz="4" w:space="0"/>
              <w:left w:val="nil"/>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对在城市人民政府规定的街道的临街建筑物的阳台和窗外，堆放、吊挂有碍市容的物品的处罚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textAlignment w:val="center"/>
              <w:rPr>
                <w:rFonts w:ascii="宋体" w:hAnsi="宋体" w:cs="宋体"/>
                <w:color w:val="000000"/>
                <w:sz w:val="24"/>
              </w:rPr>
            </w:pPr>
            <w:r>
              <w:rPr>
                <w:rFonts w:hint="eastAsia" w:ascii="宋体" w:hAnsi="宋体" w:cs="宋体"/>
                <w:color w:val="000000"/>
                <w:kern w:val="0"/>
                <w:sz w:val="24"/>
              </w:rPr>
              <w:t>《城市市容和环境卫生管理条例》第三十四条第三项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44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44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525"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33</w:t>
            </w:r>
          </w:p>
        </w:tc>
        <w:tc>
          <w:tcPr>
            <w:tcW w:w="3763" w:type="dxa"/>
            <w:tcBorders>
              <w:top w:val="single" w:color="000000" w:sz="4" w:space="0"/>
              <w:left w:val="nil"/>
              <w:bottom w:val="single" w:color="000000" w:sz="4" w:space="0"/>
              <w:right w:val="single" w:color="000000" w:sz="4" w:space="0"/>
            </w:tcBorders>
            <w:vAlign w:val="center"/>
          </w:tcPr>
          <w:p>
            <w:pPr>
              <w:widowControl/>
              <w:spacing w:line="440" w:lineRule="exact"/>
              <w:jc w:val="left"/>
              <w:textAlignment w:val="center"/>
              <w:rPr>
                <w:rFonts w:ascii="宋体" w:hAnsi="宋体" w:cs="宋体"/>
                <w:color w:val="000000"/>
                <w:sz w:val="24"/>
              </w:rPr>
            </w:pPr>
            <w:r>
              <w:rPr>
                <w:rFonts w:hint="eastAsia" w:ascii="宋体" w:hAnsi="宋体" w:cs="宋体"/>
                <w:color w:val="000000"/>
                <w:kern w:val="0"/>
                <w:sz w:val="24"/>
              </w:rPr>
              <w:t>对在城市建筑物、设施以及树木上涂写、刻画或者未经批准张挂、张贴宣传品等的处罚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宋体" w:hAnsi="宋体" w:cs="宋体"/>
                <w:color w:val="000000"/>
                <w:sz w:val="24"/>
              </w:rPr>
            </w:pPr>
            <w:r>
              <w:rPr>
                <w:rFonts w:hint="eastAsia" w:ascii="宋体" w:hAnsi="宋体" w:cs="宋体"/>
                <w:color w:val="000000"/>
                <w:kern w:val="0"/>
                <w:sz w:val="24"/>
              </w:rPr>
              <w:t>《内蒙古自治区城市市容和环境卫生违法行为处罚规定》第三条第二项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34</w:t>
            </w:r>
          </w:p>
        </w:tc>
        <w:tc>
          <w:tcPr>
            <w:tcW w:w="3763" w:type="dxa"/>
            <w:tcBorders>
              <w:top w:val="single" w:color="000000" w:sz="4" w:space="0"/>
              <w:left w:val="single" w:color="000000" w:sz="4" w:space="0"/>
              <w:bottom w:val="single" w:color="000000" w:sz="4" w:space="0"/>
              <w:right w:val="nil"/>
            </w:tcBorders>
            <w:vAlign w:val="center"/>
          </w:tcPr>
          <w:p>
            <w:pPr>
              <w:widowControl/>
              <w:spacing w:line="440" w:lineRule="exact"/>
              <w:jc w:val="left"/>
              <w:textAlignment w:val="center"/>
              <w:rPr>
                <w:rFonts w:ascii="宋体" w:hAnsi="宋体" w:cs="宋体"/>
                <w:color w:val="000000"/>
                <w:sz w:val="24"/>
              </w:rPr>
            </w:pPr>
            <w:r>
              <w:rPr>
                <w:rFonts w:hint="eastAsia" w:ascii="宋体" w:hAnsi="宋体" w:cs="宋体"/>
                <w:color w:val="000000"/>
                <w:kern w:val="0"/>
                <w:sz w:val="24"/>
              </w:rPr>
              <w:t>对不按规定的时间、地点、方式，倾倒垃圾、污水、粪便的处罚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宋体" w:hAnsi="宋体" w:cs="宋体"/>
                <w:color w:val="000000"/>
                <w:sz w:val="24"/>
              </w:rPr>
            </w:pPr>
            <w:r>
              <w:rPr>
                <w:rFonts w:hint="eastAsia" w:ascii="宋体" w:hAnsi="宋体" w:cs="宋体"/>
                <w:color w:val="000000"/>
                <w:kern w:val="0"/>
                <w:sz w:val="24"/>
              </w:rPr>
              <w:t>《内蒙古自治区城市市容和环境卫生违法行为处罚规定》第三条第四项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35</w:t>
            </w:r>
          </w:p>
        </w:tc>
        <w:tc>
          <w:tcPr>
            <w:tcW w:w="3763" w:type="dxa"/>
            <w:tcBorders>
              <w:top w:val="single" w:color="000000" w:sz="4" w:space="0"/>
              <w:left w:val="nil"/>
              <w:bottom w:val="single" w:color="000000" w:sz="4" w:space="0"/>
              <w:right w:val="single" w:color="000000" w:sz="4" w:space="0"/>
            </w:tcBorders>
            <w:vAlign w:val="center"/>
          </w:tcPr>
          <w:p>
            <w:pPr>
              <w:widowControl/>
              <w:spacing w:line="440" w:lineRule="exact"/>
              <w:jc w:val="left"/>
              <w:textAlignment w:val="center"/>
              <w:rPr>
                <w:rFonts w:ascii="宋体" w:hAnsi="宋体" w:cs="宋体"/>
                <w:color w:val="000000"/>
                <w:sz w:val="24"/>
              </w:rPr>
            </w:pPr>
            <w:r>
              <w:rPr>
                <w:rFonts w:hint="eastAsia" w:ascii="宋体" w:hAnsi="宋体" w:cs="宋体"/>
                <w:color w:val="000000"/>
                <w:kern w:val="0"/>
                <w:sz w:val="24"/>
              </w:rPr>
              <w:t>对临街工地不设置护栏或者不作遮挡、停工场地不及时整理并作必要覆盖或者竣工后不及时清理和平整场地，影响市容和环境卫生的处罚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宋体" w:hAnsi="宋体" w:cs="宋体"/>
                <w:color w:val="000000"/>
                <w:sz w:val="24"/>
              </w:rPr>
            </w:pPr>
            <w:r>
              <w:rPr>
                <w:rFonts w:hint="eastAsia" w:ascii="宋体" w:hAnsi="宋体" w:cs="宋体"/>
                <w:color w:val="000000"/>
                <w:kern w:val="0"/>
                <w:sz w:val="24"/>
              </w:rPr>
              <w:t>《内蒙古自治区城市市容和环境卫生违法行为处罚规定》第三条第七项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36</w:t>
            </w:r>
          </w:p>
        </w:tc>
        <w:tc>
          <w:tcPr>
            <w:tcW w:w="3763" w:type="dxa"/>
            <w:tcBorders>
              <w:top w:val="single" w:color="000000" w:sz="4" w:space="0"/>
              <w:left w:val="nil"/>
              <w:bottom w:val="single" w:color="000000" w:sz="4" w:space="0"/>
              <w:right w:val="single" w:color="000000" w:sz="4" w:space="0"/>
            </w:tcBorders>
            <w:vAlign w:val="center"/>
          </w:tcPr>
          <w:p>
            <w:pPr>
              <w:widowControl/>
              <w:spacing w:line="440" w:lineRule="exact"/>
              <w:jc w:val="left"/>
              <w:textAlignment w:val="center"/>
              <w:rPr>
                <w:rFonts w:ascii="宋体" w:hAnsi="宋体" w:cs="宋体"/>
                <w:color w:val="000000"/>
                <w:sz w:val="24"/>
              </w:rPr>
            </w:pPr>
            <w:r>
              <w:rPr>
                <w:rFonts w:hint="eastAsia" w:ascii="宋体" w:hAnsi="宋体" w:cs="宋体"/>
                <w:color w:val="000000"/>
                <w:kern w:val="0"/>
                <w:sz w:val="24"/>
              </w:rPr>
              <w:t>对擅自设置大型户外广告标牌设施，影响市容的处罚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宋体" w:hAnsi="宋体" w:cs="宋体"/>
                <w:color w:val="000000"/>
                <w:sz w:val="24"/>
              </w:rPr>
            </w:pPr>
            <w:r>
              <w:rPr>
                <w:rFonts w:hint="eastAsia" w:ascii="宋体" w:hAnsi="宋体" w:cs="宋体"/>
                <w:color w:val="000000"/>
                <w:kern w:val="0"/>
                <w:sz w:val="24"/>
              </w:rPr>
              <w:t>《内蒙古自治区城市市容和环境卫生违法行为处罚规定》第五条第一项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54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54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37</w:t>
            </w:r>
          </w:p>
        </w:tc>
        <w:tc>
          <w:tcPr>
            <w:tcW w:w="3763" w:type="dxa"/>
            <w:tcBorders>
              <w:top w:val="single" w:color="000000" w:sz="4" w:space="0"/>
              <w:left w:val="nil"/>
              <w:bottom w:val="single" w:color="000000" w:sz="4" w:space="0"/>
              <w:right w:val="single" w:color="000000" w:sz="4" w:space="0"/>
            </w:tcBorders>
            <w:vAlign w:val="center"/>
          </w:tcPr>
          <w:p>
            <w:pPr>
              <w:widowControl/>
              <w:spacing w:line="540" w:lineRule="exact"/>
              <w:jc w:val="left"/>
              <w:textAlignment w:val="center"/>
              <w:rPr>
                <w:rFonts w:ascii="宋体" w:hAnsi="宋体" w:cs="宋体"/>
                <w:color w:val="000000"/>
                <w:sz w:val="24"/>
              </w:rPr>
            </w:pPr>
            <w:r>
              <w:rPr>
                <w:rFonts w:hint="eastAsia" w:ascii="宋体" w:hAnsi="宋体" w:cs="宋体"/>
                <w:color w:val="000000"/>
                <w:kern w:val="0"/>
                <w:sz w:val="24"/>
              </w:rPr>
              <w:t>对擅自在街道两侧和公共场地堆放物料，搭建建筑物、构筑物或者其他设施，影响市容的处罚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left"/>
              <w:textAlignment w:val="center"/>
              <w:rPr>
                <w:rFonts w:ascii="宋体" w:hAnsi="宋体" w:cs="宋体"/>
                <w:color w:val="000000"/>
                <w:sz w:val="24"/>
              </w:rPr>
            </w:pPr>
            <w:r>
              <w:rPr>
                <w:rFonts w:hint="eastAsia" w:ascii="宋体" w:hAnsi="宋体" w:cs="宋体"/>
                <w:color w:val="000000"/>
                <w:kern w:val="0"/>
                <w:sz w:val="24"/>
              </w:rPr>
              <w:t>《内蒙古自治区城市市容和环境卫生违法行为处罚规定》第五条第二项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535"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38</w:t>
            </w:r>
          </w:p>
        </w:tc>
        <w:tc>
          <w:tcPr>
            <w:tcW w:w="3763" w:type="dxa"/>
            <w:tcBorders>
              <w:top w:val="single" w:color="000000" w:sz="4" w:space="0"/>
              <w:left w:val="nil"/>
              <w:bottom w:val="single" w:color="000000" w:sz="4" w:space="0"/>
              <w:right w:val="single" w:color="000000" w:sz="4" w:space="0"/>
            </w:tcBorders>
            <w:vAlign w:val="center"/>
          </w:tcPr>
          <w:p>
            <w:pPr>
              <w:widowControl/>
              <w:spacing w:line="540" w:lineRule="exact"/>
              <w:jc w:val="left"/>
              <w:textAlignment w:val="center"/>
              <w:rPr>
                <w:rFonts w:ascii="宋体" w:hAnsi="宋体" w:cs="宋体"/>
                <w:color w:val="000000"/>
                <w:sz w:val="24"/>
              </w:rPr>
            </w:pPr>
            <w:r>
              <w:rPr>
                <w:rFonts w:hint="eastAsia" w:ascii="宋体" w:hAnsi="宋体" w:cs="宋体"/>
                <w:color w:val="000000"/>
                <w:kern w:val="0"/>
                <w:sz w:val="24"/>
              </w:rPr>
              <w:t>对不自觉维护公共卫生，不爱护公共卫生设施的处罚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left"/>
              <w:textAlignment w:val="center"/>
              <w:rPr>
                <w:rFonts w:ascii="宋体" w:hAnsi="宋体" w:cs="宋体"/>
                <w:color w:val="000000"/>
                <w:sz w:val="24"/>
              </w:rPr>
            </w:pPr>
            <w:r>
              <w:rPr>
                <w:rFonts w:hint="eastAsia" w:ascii="宋体" w:hAnsi="宋体" w:cs="宋体"/>
                <w:color w:val="000000"/>
                <w:kern w:val="0"/>
                <w:sz w:val="24"/>
              </w:rPr>
              <w:t>《内蒙古自治区爱国卫生条例》第十五条、第二十五条第一项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39</w:t>
            </w:r>
          </w:p>
        </w:tc>
        <w:tc>
          <w:tcPr>
            <w:tcW w:w="3763" w:type="dxa"/>
            <w:tcBorders>
              <w:top w:val="single" w:color="000000" w:sz="4" w:space="0"/>
              <w:left w:val="nil"/>
              <w:bottom w:val="single" w:color="000000" w:sz="4" w:space="0"/>
              <w:right w:val="single" w:color="000000" w:sz="4" w:space="0"/>
            </w:tcBorders>
            <w:vAlign w:val="center"/>
          </w:tcPr>
          <w:p>
            <w:pPr>
              <w:widowControl/>
              <w:spacing w:line="540" w:lineRule="exact"/>
              <w:jc w:val="left"/>
              <w:textAlignment w:val="center"/>
              <w:rPr>
                <w:rFonts w:ascii="宋体" w:hAnsi="宋体" w:cs="宋体"/>
                <w:color w:val="000000"/>
                <w:sz w:val="24"/>
              </w:rPr>
            </w:pPr>
            <w:r>
              <w:rPr>
                <w:rFonts w:hint="eastAsia" w:ascii="宋体" w:hAnsi="宋体" w:cs="宋体"/>
                <w:color w:val="000000"/>
                <w:kern w:val="0"/>
                <w:sz w:val="24"/>
              </w:rPr>
              <w:t>对未按规定实行包门前卫生、包绿化美化硬化、包管理的“门前三包”制度的处罚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left"/>
              <w:textAlignment w:val="center"/>
              <w:rPr>
                <w:rFonts w:ascii="宋体" w:hAnsi="宋体" w:cs="宋体"/>
                <w:color w:val="000000"/>
                <w:sz w:val="24"/>
              </w:rPr>
            </w:pPr>
            <w:r>
              <w:rPr>
                <w:rFonts w:hint="eastAsia" w:ascii="宋体" w:hAnsi="宋体" w:cs="宋体"/>
                <w:color w:val="000000"/>
                <w:kern w:val="0"/>
                <w:sz w:val="24"/>
              </w:rPr>
              <w:t>《内蒙古自治区爱国卫生条例》第十六条、第二十五条第二项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40</w:t>
            </w:r>
          </w:p>
        </w:tc>
        <w:tc>
          <w:tcPr>
            <w:tcW w:w="3763" w:type="dxa"/>
            <w:tcBorders>
              <w:top w:val="single" w:color="000000" w:sz="4" w:space="0"/>
              <w:left w:val="nil"/>
              <w:bottom w:val="single" w:color="000000" w:sz="4" w:space="0"/>
              <w:right w:val="single" w:color="000000" w:sz="4" w:space="0"/>
            </w:tcBorders>
            <w:vAlign w:val="center"/>
          </w:tcPr>
          <w:p>
            <w:pPr>
              <w:widowControl/>
              <w:spacing w:line="540" w:lineRule="exact"/>
              <w:jc w:val="left"/>
              <w:textAlignment w:val="center"/>
              <w:rPr>
                <w:rFonts w:ascii="宋体" w:hAnsi="宋体" w:cs="宋体"/>
                <w:color w:val="000000"/>
                <w:sz w:val="24"/>
              </w:rPr>
            </w:pPr>
            <w:r>
              <w:rPr>
                <w:rFonts w:hint="eastAsia" w:ascii="宋体" w:hAnsi="宋体" w:cs="宋体"/>
                <w:color w:val="000000"/>
                <w:kern w:val="0"/>
                <w:sz w:val="24"/>
              </w:rPr>
              <w:t>对在城市市区内饲养家禽家畜的处罚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left"/>
              <w:textAlignment w:val="center"/>
              <w:rPr>
                <w:rFonts w:ascii="宋体" w:hAnsi="宋体" w:cs="宋体"/>
                <w:color w:val="000000"/>
                <w:sz w:val="24"/>
              </w:rPr>
            </w:pPr>
            <w:r>
              <w:rPr>
                <w:rFonts w:hint="eastAsia" w:ascii="宋体" w:hAnsi="宋体" w:cs="宋体"/>
                <w:color w:val="000000"/>
                <w:kern w:val="0"/>
                <w:sz w:val="24"/>
              </w:rPr>
              <w:t>《内蒙古自治区爱国卫生条例》第十八条、第二十五条第四项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4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51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51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535"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41</w:t>
            </w:r>
          </w:p>
        </w:tc>
        <w:tc>
          <w:tcPr>
            <w:tcW w:w="3763" w:type="dxa"/>
            <w:tcBorders>
              <w:top w:val="single" w:color="000000" w:sz="4" w:space="0"/>
              <w:left w:val="nil"/>
              <w:bottom w:val="single" w:color="000000" w:sz="4" w:space="0"/>
              <w:right w:val="single" w:color="000000" w:sz="4" w:space="0"/>
            </w:tcBorders>
            <w:vAlign w:val="center"/>
          </w:tcPr>
          <w:p>
            <w:pPr>
              <w:widowControl/>
              <w:spacing w:line="510" w:lineRule="exact"/>
              <w:jc w:val="left"/>
              <w:textAlignment w:val="center"/>
              <w:rPr>
                <w:rFonts w:ascii="宋体" w:hAnsi="宋体" w:cs="宋体"/>
                <w:color w:val="000000"/>
                <w:sz w:val="24"/>
              </w:rPr>
            </w:pPr>
            <w:r>
              <w:rPr>
                <w:rFonts w:hint="eastAsia" w:ascii="宋体" w:hAnsi="宋体" w:cs="宋体"/>
                <w:color w:val="000000"/>
                <w:kern w:val="0"/>
                <w:sz w:val="24"/>
              </w:rPr>
              <w:t>对建设单位、物业服务企业不移交有关资料的处罚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left"/>
              <w:textAlignment w:val="center"/>
              <w:rPr>
                <w:rFonts w:ascii="宋体" w:hAnsi="宋体" w:cs="宋体"/>
                <w:color w:val="000000"/>
                <w:sz w:val="24"/>
              </w:rPr>
            </w:pPr>
            <w:r>
              <w:rPr>
                <w:rFonts w:hint="eastAsia" w:ascii="宋体" w:hAnsi="宋体" w:cs="宋体"/>
                <w:color w:val="000000"/>
                <w:kern w:val="0"/>
                <w:sz w:val="24"/>
              </w:rPr>
              <w:t>《物业管理条例》第五十八条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42</w:t>
            </w:r>
          </w:p>
        </w:tc>
        <w:tc>
          <w:tcPr>
            <w:tcW w:w="3763" w:type="dxa"/>
            <w:tcBorders>
              <w:top w:val="single" w:color="000000" w:sz="4" w:space="0"/>
              <w:left w:val="nil"/>
              <w:bottom w:val="single" w:color="000000" w:sz="4" w:space="0"/>
              <w:right w:val="single" w:color="000000" w:sz="4" w:space="0"/>
            </w:tcBorders>
            <w:vAlign w:val="center"/>
          </w:tcPr>
          <w:p>
            <w:pPr>
              <w:widowControl/>
              <w:spacing w:line="510" w:lineRule="exact"/>
              <w:jc w:val="left"/>
              <w:textAlignment w:val="center"/>
              <w:rPr>
                <w:rFonts w:ascii="宋体" w:hAnsi="宋体" w:cs="宋体"/>
                <w:color w:val="000000"/>
                <w:sz w:val="24"/>
              </w:rPr>
            </w:pPr>
            <w:r>
              <w:rPr>
                <w:rFonts w:hint="eastAsia" w:ascii="宋体" w:hAnsi="宋体" w:cs="宋体"/>
                <w:color w:val="000000"/>
                <w:kern w:val="0"/>
                <w:sz w:val="24"/>
              </w:rPr>
              <w:t>对物业服务企业将一个物业管理区域内的全部物业管理一并委托给他人的处罚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left"/>
              <w:textAlignment w:val="center"/>
              <w:rPr>
                <w:rFonts w:ascii="宋体" w:hAnsi="宋体" w:cs="宋体"/>
                <w:color w:val="000000"/>
                <w:sz w:val="24"/>
              </w:rPr>
            </w:pPr>
            <w:r>
              <w:rPr>
                <w:rFonts w:hint="eastAsia" w:ascii="宋体" w:hAnsi="宋体" w:cs="宋体"/>
                <w:color w:val="000000"/>
                <w:kern w:val="0"/>
                <w:sz w:val="24"/>
              </w:rPr>
              <w:t>《物业管理条例》第五十九条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43</w:t>
            </w:r>
          </w:p>
        </w:tc>
        <w:tc>
          <w:tcPr>
            <w:tcW w:w="3763" w:type="dxa"/>
            <w:tcBorders>
              <w:top w:val="single" w:color="000000" w:sz="4" w:space="0"/>
              <w:left w:val="nil"/>
              <w:bottom w:val="single" w:color="000000" w:sz="4" w:space="0"/>
              <w:right w:val="single" w:color="000000" w:sz="4" w:space="0"/>
            </w:tcBorders>
            <w:vAlign w:val="center"/>
          </w:tcPr>
          <w:p>
            <w:pPr>
              <w:widowControl/>
              <w:spacing w:line="510" w:lineRule="exact"/>
              <w:jc w:val="left"/>
              <w:textAlignment w:val="center"/>
              <w:rPr>
                <w:rFonts w:ascii="宋体" w:hAnsi="宋体" w:cs="宋体"/>
                <w:color w:val="000000"/>
                <w:sz w:val="24"/>
              </w:rPr>
            </w:pPr>
            <w:r>
              <w:rPr>
                <w:rFonts w:hint="eastAsia" w:ascii="宋体" w:hAnsi="宋体" w:cs="宋体"/>
                <w:color w:val="000000"/>
                <w:kern w:val="0"/>
                <w:sz w:val="24"/>
              </w:rPr>
              <w:t>对未经业主大会同意,物业服务企业擅自改变物业管理用房的用途的处罚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left"/>
              <w:textAlignment w:val="center"/>
              <w:rPr>
                <w:rFonts w:ascii="宋体" w:hAnsi="宋体" w:cs="宋体"/>
                <w:color w:val="000000"/>
                <w:sz w:val="24"/>
              </w:rPr>
            </w:pPr>
            <w:r>
              <w:rPr>
                <w:rFonts w:hint="eastAsia" w:ascii="宋体" w:hAnsi="宋体" w:cs="宋体"/>
                <w:color w:val="000000"/>
                <w:kern w:val="0"/>
                <w:sz w:val="24"/>
              </w:rPr>
              <w:t>《物业管理条例》第六十二条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44</w:t>
            </w:r>
          </w:p>
        </w:tc>
        <w:tc>
          <w:tcPr>
            <w:tcW w:w="3763" w:type="dxa"/>
            <w:tcBorders>
              <w:top w:val="single" w:color="000000" w:sz="4" w:space="0"/>
              <w:left w:val="nil"/>
              <w:bottom w:val="single" w:color="000000" w:sz="4" w:space="0"/>
              <w:right w:val="single" w:color="000000" w:sz="4" w:space="0"/>
            </w:tcBorders>
            <w:vAlign w:val="center"/>
          </w:tcPr>
          <w:p>
            <w:pPr>
              <w:widowControl/>
              <w:spacing w:line="510" w:lineRule="exact"/>
              <w:jc w:val="left"/>
              <w:textAlignment w:val="center"/>
              <w:rPr>
                <w:rFonts w:ascii="宋体" w:hAnsi="宋体" w:cs="宋体"/>
                <w:color w:val="000000"/>
                <w:sz w:val="24"/>
              </w:rPr>
            </w:pPr>
            <w:r>
              <w:rPr>
                <w:rFonts w:hint="eastAsia" w:ascii="宋体" w:hAnsi="宋体" w:cs="宋体"/>
                <w:color w:val="000000"/>
                <w:kern w:val="0"/>
                <w:sz w:val="24"/>
              </w:rPr>
              <w:t>对擅自改变物业管理区域内按照规划建设的公共建筑和共用设施用途的处罚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left"/>
              <w:textAlignment w:val="center"/>
              <w:rPr>
                <w:rFonts w:ascii="宋体" w:hAnsi="宋体" w:cs="宋体"/>
                <w:color w:val="000000"/>
                <w:sz w:val="24"/>
              </w:rPr>
            </w:pPr>
            <w:r>
              <w:rPr>
                <w:rFonts w:hint="eastAsia" w:ascii="宋体" w:hAnsi="宋体" w:cs="宋体"/>
                <w:color w:val="000000"/>
                <w:kern w:val="0"/>
                <w:sz w:val="24"/>
              </w:rPr>
              <w:t>《物业管理条例》第六十三条第一款第一项、第六十三条第二款</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1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spacing w:line="4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spacing w:line="42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56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45</w:t>
            </w:r>
          </w:p>
        </w:tc>
        <w:tc>
          <w:tcPr>
            <w:tcW w:w="3763" w:type="dxa"/>
            <w:tcBorders>
              <w:top w:val="single" w:color="000000" w:sz="4" w:space="0"/>
              <w:left w:val="nil"/>
              <w:bottom w:val="nil"/>
              <w:right w:val="single" w:color="000000" w:sz="4" w:space="0"/>
            </w:tcBorders>
            <w:vAlign w:val="center"/>
          </w:tcPr>
          <w:p>
            <w:pPr>
              <w:widowControl/>
              <w:spacing w:line="420" w:lineRule="exact"/>
              <w:jc w:val="left"/>
              <w:textAlignment w:val="center"/>
              <w:rPr>
                <w:rFonts w:ascii="宋体" w:hAnsi="宋体" w:cs="宋体"/>
                <w:color w:val="000000"/>
                <w:sz w:val="24"/>
              </w:rPr>
            </w:pPr>
            <w:r>
              <w:rPr>
                <w:rFonts w:hint="eastAsia" w:ascii="宋体" w:hAnsi="宋体" w:cs="宋体"/>
                <w:color w:val="000000"/>
                <w:kern w:val="0"/>
                <w:sz w:val="24"/>
              </w:rPr>
              <w:t>对擅自占用、挖掘物业管理区域内道路、场地，损害业主共同利益的处罚</w:t>
            </w:r>
          </w:p>
        </w:tc>
        <w:tc>
          <w:tcPr>
            <w:tcW w:w="1309" w:type="dxa"/>
            <w:tcBorders>
              <w:top w:val="single" w:color="000000" w:sz="4" w:space="0"/>
              <w:left w:val="single" w:color="000000" w:sz="4" w:space="0"/>
              <w:bottom w:val="nil"/>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nil"/>
              <w:right w:val="single" w:color="000000" w:sz="4" w:space="0"/>
            </w:tcBorders>
            <w:vAlign w:val="center"/>
          </w:tcPr>
          <w:p>
            <w:pPr>
              <w:widowControl/>
              <w:spacing w:line="420" w:lineRule="exact"/>
              <w:jc w:val="left"/>
              <w:textAlignment w:val="center"/>
              <w:rPr>
                <w:rFonts w:ascii="宋体" w:hAnsi="宋体" w:cs="宋体"/>
                <w:color w:val="000000"/>
                <w:sz w:val="24"/>
              </w:rPr>
            </w:pPr>
            <w:r>
              <w:rPr>
                <w:rFonts w:hint="eastAsia" w:ascii="宋体" w:hAnsi="宋体" w:cs="宋体"/>
                <w:color w:val="000000"/>
                <w:kern w:val="0"/>
                <w:sz w:val="24"/>
              </w:rPr>
              <w:t>《物业管理条例》第六十三条第一款第二项、第六十三条第二款</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465"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46</w:t>
            </w:r>
          </w:p>
        </w:tc>
        <w:tc>
          <w:tcPr>
            <w:tcW w:w="3763"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宋体" w:hAnsi="宋体" w:cs="宋体"/>
                <w:color w:val="000000"/>
                <w:sz w:val="24"/>
              </w:rPr>
            </w:pPr>
            <w:r>
              <w:rPr>
                <w:rFonts w:hint="eastAsia" w:ascii="宋体" w:hAnsi="宋体" w:cs="宋体"/>
                <w:color w:val="000000"/>
                <w:kern w:val="0"/>
                <w:sz w:val="24"/>
              </w:rPr>
              <w:t>对擅自利用物业共用部位、共用设施设备进行经营的处罚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宋体" w:hAnsi="宋体" w:cs="宋体"/>
                <w:color w:val="000000"/>
                <w:sz w:val="24"/>
              </w:rPr>
            </w:pPr>
            <w:r>
              <w:rPr>
                <w:rFonts w:hint="eastAsia" w:ascii="宋体" w:hAnsi="宋体" w:cs="宋体"/>
                <w:color w:val="000000"/>
                <w:kern w:val="0"/>
                <w:sz w:val="24"/>
              </w:rPr>
              <w:t>《物业管理条例》第六十三条第一款第三项、第六十三条第二款</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21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47</w:t>
            </w:r>
          </w:p>
        </w:tc>
        <w:tc>
          <w:tcPr>
            <w:tcW w:w="3763"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宋体" w:hAnsi="宋体" w:cs="宋体"/>
                <w:color w:val="000000"/>
                <w:sz w:val="24"/>
              </w:rPr>
            </w:pPr>
            <w:r>
              <w:rPr>
                <w:rFonts w:hint="eastAsia" w:ascii="宋体" w:hAnsi="宋体" w:cs="宋体"/>
                <w:color w:val="000000"/>
                <w:kern w:val="0"/>
                <w:sz w:val="24"/>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宋体" w:hAnsi="宋体" w:cs="宋体"/>
                <w:color w:val="000000"/>
                <w:sz w:val="24"/>
              </w:rPr>
            </w:pPr>
            <w:r>
              <w:rPr>
                <w:rFonts w:hint="eastAsia" w:ascii="宋体" w:hAnsi="宋体" w:cs="宋体"/>
                <w:color w:val="000000"/>
                <w:kern w:val="0"/>
                <w:sz w:val="24"/>
              </w:rPr>
              <w:t>《中华人民共和国土壤污染防治法》第八十八条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48</w:t>
            </w:r>
          </w:p>
        </w:tc>
        <w:tc>
          <w:tcPr>
            <w:tcW w:w="3763"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宋体" w:hAnsi="宋体" w:cs="宋体"/>
                <w:color w:val="000000"/>
                <w:sz w:val="24"/>
              </w:rPr>
            </w:pPr>
            <w:r>
              <w:rPr>
                <w:rFonts w:hint="eastAsia" w:ascii="宋体" w:hAnsi="宋体" w:cs="宋体"/>
                <w:color w:val="000000"/>
                <w:kern w:val="0"/>
                <w:sz w:val="24"/>
              </w:rPr>
              <w:t>对农产品生产企业、农民专业合作社、从事农产品收购的单位或者个人未按照规定开具承诺达标合格证的处罚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宋体" w:hAnsi="宋体" w:cs="宋体"/>
                <w:color w:val="000000"/>
                <w:sz w:val="24"/>
              </w:rPr>
            </w:pPr>
            <w:r>
              <w:rPr>
                <w:rFonts w:hint="eastAsia" w:ascii="宋体" w:hAnsi="宋体" w:cs="宋体"/>
                <w:color w:val="000000"/>
                <w:kern w:val="0"/>
                <w:sz w:val="24"/>
              </w:rPr>
              <w:t>《中华人民共和国农产品质量安全法》第七十三条第一项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68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序号</w:t>
            </w:r>
          </w:p>
        </w:tc>
        <w:tc>
          <w:tcPr>
            <w:tcW w:w="376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权力事项名称</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权力类型</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设    定   依   据</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赋权的</w:t>
            </w:r>
          </w:p>
          <w:p>
            <w:pPr>
              <w:widowControl/>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rPr>
              <w:t>原实施层级</w:t>
            </w:r>
          </w:p>
        </w:tc>
      </w:tr>
      <w:tr>
        <w:tblPrEx>
          <w:tblCellMar>
            <w:top w:w="0" w:type="dxa"/>
            <w:left w:w="108" w:type="dxa"/>
            <w:bottom w:w="0" w:type="dxa"/>
            <w:right w:w="108" w:type="dxa"/>
          </w:tblCellMar>
        </w:tblPrEx>
        <w:trPr>
          <w:trHeight w:val="167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49</w:t>
            </w:r>
          </w:p>
        </w:tc>
        <w:tc>
          <w:tcPr>
            <w:tcW w:w="37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对擅自停止使用取退水计量设施的处罚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《取水许可管理办法》第四十九条第二项</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800"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宋体" w:hAnsi="宋体" w:cs="宋体"/>
                <w:color w:val="000000"/>
                <w:sz w:val="24"/>
              </w:rPr>
            </w:pPr>
            <w:r>
              <w:rPr>
                <w:rFonts w:hint="eastAsia" w:ascii="宋体" w:hAnsi="宋体" w:cs="宋体"/>
                <w:color w:val="000000"/>
                <w:kern w:val="0"/>
                <w:sz w:val="24"/>
              </w:rPr>
              <w:t>50</w:t>
            </w:r>
          </w:p>
        </w:tc>
        <w:tc>
          <w:tcPr>
            <w:tcW w:w="376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宋体" w:hAnsi="宋体" w:cs="宋体"/>
                <w:color w:val="000000"/>
                <w:sz w:val="24"/>
              </w:rPr>
            </w:pPr>
            <w:r>
              <w:rPr>
                <w:rFonts w:hint="eastAsia" w:ascii="宋体" w:hAnsi="宋体" w:cs="宋体"/>
                <w:color w:val="000000"/>
                <w:kern w:val="0"/>
                <w:sz w:val="24"/>
              </w:rPr>
              <w:t>对在人口集中地区对树木、花草喷洒剧毒、高毒农药，或者露天焚烧秸秆、落叶等产生烟尘污染的物质的处罚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宋体" w:hAnsi="宋体" w:cs="宋体"/>
                <w:color w:val="000000"/>
                <w:sz w:val="24"/>
              </w:rPr>
            </w:pPr>
            <w:r>
              <w:rPr>
                <w:rFonts w:hint="eastAsia" w:ascii="宋体" w:hAnsi="宋体" w:cs="宋体"/>
                <w:color w:val="000000"/>
                <w:kern w:val="0"/>
                <w:sz w:val="24"/>
              </w:rPr>
              <w:t>《中华人民共和国大气污染防治法》第一百一十九条第一款</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r>
        <w:tblPrEx>
          <w:tblCellMar>
            <w:top w:w="0" w:type="dxa"/>
            <w:left w:w="108" w:type="dxa"/>
            <w:bottom w:w="0" w:type="dxa"/>
            <w:right w:w="108" w:type="dxa"/>
          </w:tblCellMar>
        </w:tblPrEx>
        <w:trPr>
          <w:trHeight w:val="1635" w:hRule="atLeast"/>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宋体" w:hAnsi="宋体" w:cs="宋体"/>
                <w:color w:val="000000"/>
                <w:sz w:val="24"/>
              </w:rPr>
            </w:pPr>
            <w:r>
              <w:rPr>
                <w:rFonts w:hint="eastAsia" w:ascii="宋体" w:hAnsi="宋体" w:cs="宋体"/>
                <w:color w:val="000000"/>
                <w:kern w:val="0"/>
                <w:sz w:val="24"/>
              </w:rPr>
              <w:t>51</w:t>
            </w:r>
          </w:p>
        </w:tc>
        <w:tc>
          <w:tcPr>
            <w:tcW w:w="376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宋体" w:hAnsi="宋体" w:cs="宋体"/>
                <w:color w:val="000000"/>
                <w:sz w:val="24"/>
              </w:rPr>
            </w:pPr>
            <w:r>
              <w:rPr>
                <w:rFonts w:hint="eastAsia" w:ascii="宋体" w:hAnsi="宋体" w:cs="宋体"/>
                <w:color w:val="000000"/>
                <w:kern w:val="0"/>
                <w:sz w:val="24"/>
              </w:rPr>
              <w:t>对破坏或者擅自改变基本农田保护区标志的处罚</w:t>
            </w: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宋体" w:hAnsi="宋体" w:cs="宋体"/>
                <w:color w:val="000000"/>
                <w:sz w:val="24"/>
              </w:rPr>
            </w:pPr>
            <w:r>
              <w:rPr>
                <w:rFonts w:hint="eastAsia" w:ascii="宋体" w:hAnsi="宋体" w:cs="宋体"/>
                <w:color w:val="000000"/>
                <w:kern w:val="0"/>
                <w:sz w:val="24"/>
              </w:rPr>
              <w:t>行政处罚</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ascii="宋体" w:hAnsi="宋体" w:cs="宋体"/>
                <w:color w:val="000000"/>
                <w:sz w:val="24"/>
              </w:rPr>
            </w:pPr>
            <w:r>
              <w:rPr>
                <w:rFonts w:hint="eastAsia" w:ascii="宋体" w:hAnsi="宋体" w:cs="宋体"/>
                <w:color w:val="000000"/>
                <w:kern w:val="0"/>
                <w:sz w:val="24"/>
              </w:rPr>
              <w:t>《基本农田保护条例》第三十二条</w:t>
            </w:r>
          </w:p>
        </w:tc>
        <w:tc>
          <w:tcPr>
            <w:tcW w:w="18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宋体" w:hAnsi="宋体" w:cs="宋体"/>
                <w:color w:val="000000"/>
                <w:sz w:val="24"/>
              </w:rPr>
            </w:pPr>
            <w:r>
              <w:rPr>
                <w:rFonts w:hint="eastAsia" w:ascii="宋体" w:hAnsi="宋体" w:cs="宋体"/>
                <w:color w:val="000000"/>
                <w:kern w:val="0"/>
                <w:sz w:val="24"/>
              </w:rPr>
              <w:t>旗县级</w:t>
            </w:r>
          </w:p>
        </w:tc>
      </w:tr>
    </w:tbl>
    <w:p>
      <w:r>
        <w:rPr>
          <w:rFonts w:hint="eastAsia" w:ascii="仿宋_GB2312" w:eastAsia="仿宋_GB2312"/>
          <w:bCs/>
          <w:sz w:val="32"/>
          <w:szCs w:val="32"/>
        </w:rPr>
        <w:t xml:space="preserve"> </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92C36"/>
    <w:rsid w:val="0007527A"/>
    <w:rsid w:val="002C4E70"/>
    <w:rsid w:val="003B4DE9"/>
    <w:rsid w:val="004F2C33"/>
    <w:rsid w:val="00525CB7"/>
    <w:rsid w:val="00584C8B"/>
    <w:rsid w:val="006752D7"/>
    <w:rsid w:val="006B1B1E"/>
    <w:rsid w:val="0073118C"/>
    <w:rsid w:val="00764FAD"/>
    <w:rsid w:val="00794753"/>
    <w:rsid w:val="00815E89"/>
    <w:rsid w:val="008C5F7C"/>
    <w:rsid w:val="008C5F97"/>
    <w:rsid w:val="0097255A"/>
    <w:rsid w:val="00995D9C"/>
    <w:rsid w:val="00A00D3F"/>
    <w:rsid w:val="00AC4C1C"/>
    <w:rsid w:val="00CC3B0B"/>
    <w:rsid w:val="00CE1F24"/>
    <w:rsid w:val="00CF018A"/>
    <w:rsid w:val="00E8625B"/>
    <w:rsid w:val="00F05270"/>
    <w:rsid w:val="00FE6929"/>
    <w:rsid w:val="11DA6A7E"/>
    <w:rsid w:val="319C789E"/>
    <w:rsid w:val="3BF92C36"/>
    <w:rsid w:val="539EB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722</Words>
  <Characters>4118</Characters>
  <Lines>34</Lines>
  <Paragraphs>9</Paragraphs>
  <TotalTime>116</TotalTime>
  <ScaleCrop>false</ScaleCrop>
  <LinksUpToDate>false</LinksUpToDate>
  <CharactersWithSpaces>4831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2024-06-20T18:30:00Z</dcterms:created>
  <dc:creator>Administrator</dc:creator>
  <cp:lastModifiedBy>user</cp:lastModifiedBy>
  <cp:lastPrinted>2024-06-21T09:13:00Z</cp:lastPrinted>
  <dcterms:modified xsi:type="dcterms:W3CDTF">2024-07-04T18:08:14Z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