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地方层面设定的涉企经营许可事项改革清单</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（内蒙古自治区2021年版）</w:t>
      </w:r>
    </w:p>
    <w:p>
      <w:pPr>
        <w:spacing w:line="240" w:lineRule="exact"/>
        <w:jc w:val="center"/>
        <w:rPr>
          <w:rFonts w:ascii="方正小标宋简体" w:hAnsi="方正小标宋简体" w:eastAsia="方正小标宋简体" w:cs="方正小标宋简体"/>
          <w:sz w:val="44"/>
          <w:szCs w:val="44"/>
        </w:rPr>
      </w:pPr>
    </w:p>
    <w:p>
      <w:pPr>
        <w:spacing w:line="560" w:lineRule="exact"/>
        <w:jc w:val="center"/>
        <w:rPr>
          <w:rFonts w:ascii="楷体" w:hAnsi="楷体" w:eastAsia="楷体" w:cs="楷体"/>
          <w:sz w:val="32"/>
          <w:szCs w:val="32"/>
        </w:rPr>
      </w:pPr>
      <w:r>
        <w:rPr>
          <w:rFonts w:hint="eastAsia" w:ascii="楷体" w:hAnsi="楷体" w:eastAsia="楷体" w:cs="楷体"/>
          <w:sz w:val="32"/>
          <w:szCs w:val="32"/>
        </w:rPr>
        <w:t>（共1</w:t>
      </w:r>
      <w:r>
        <w:rPr>
          <w:rFonts w:hint="eastAsia" w:ascii="楷体" w:hAnsi="楷体" w:eastAsia="楷体" w:cs="楷体"/>
          <w:sz w:val="32"/>
          <w:szCs w:val="32"/>
          <w:lang w:val="en-US" w:eastAsia="zh-CN"/>
        </w:rPr>
        <w:t>8</w:t>
      </w:r>
      <w:r>
        <w:rPr>
          <w:rFonts w:hint="eastAsia" w:ascii="楷体" w:hAnsi="楷体" w:eastAsia="楷体" w:cs="楷体"/>
          <w:sz w:val="32"/>
          <w:szCs w:val="32"/>
        </w:rPr>
        <w:t>项）</w:t>
      </w:r>
    </w:p>
    <w:p>
      <w:pPr>
        <w:spacing w:line="240" w:lineRule="exact"/>
        <w:jc w:val="center"/>
        <w:rPr>
          <w:rFonts w:ascii="方正楷体简体" w:hAnsi="方正楷体简体" w:eastAsia="方正楷体简体" w:cs="方正楷体简体"/>
          <w:sz w:val="32"/>
          <w:szCs w:val="32"/>
        </w:rPr>
      </w:pPr>
    </w:p>
    <w:tbl>
      <w:tblPr>
        <w:tblStyle w:val="3"/>
        <w:tblW w:w="13426" w:type="dxa"/>
        <w:tblInd w:w="0" w:type="dxa"/>
        <w:tblLayout w:type="fixed"/>
        <w:tblCellMar>
          <w:top w:w="0" w:type="dxa"/>
          <w:left w:w="108" w:type="dxa"/>
          <w:bottom w:w="0" w:type="dxa"/>
          <w:right w:w="108" w:type="dxa"/>
        </w:tblCellMar>
      </w:tblPr>
      <w:tblGrid>
        <w:gridCol w:w="471"/>
        <w:gridCol w:w="785"/>
        <w:gridCol w:w="927"/>
        <w:gridCol w:w="943"/>
        <w:gridCol w:w="1047"/>
        <w:gridCol w:w="881"/>
        <w:gridCol w:w="607"/>
        <w:gridCol w:w="593"/>
        <w:gridCol w:w="593"/>
        <w:gridCol w:w="577"/>
        <w:gridCol w:w="2202"/>
        <w:gridCol w:w="3800"/>
      </w:tblGrid>
      <w:tr>
        <w:tblPrEx>
          <w:tblLayout w:type="fixed"/>
          <w:tblCellMar>
            <w:top w:w="0" w:type="dxa"/>
            <w:left w:w="108" w:type="dxa"/>
            <w:bottom w:w="0" w:type="dxa"/>
            <w:right w:w="108" w:type="dxa"/>
          </w:tblCellMar>
        </w:tblPrEx>
        <w:trPr>
          <w:cantSplit/>
          <w:trHeight w:val="319" w:hRule="atLeast"/>
          <w:tblHeader/>
        </w:trPr>
        <w:tc>
          <w:tcPr>
            <w:tcW w:w="471"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序号</w:t>
            </w:r>
          </w:p>
        </w:tc>
        <w:tc>
          <w:tcPr>
            <w:tcW w:w="785"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主管</w:t>
            </w:r>
          </w:p>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部门</w:t>
            </w:r>
          </w:p>
        </w:tc>
        <w:tc>
          <w:tcPr>
            <w:tcW w:w="9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topLinePunct/>
              <w:spacing w:line="280" w:lineRule="exact"/>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改革事项</w:t>
            </w:r>
          </w:p>
        </w:tc>
        <w:tc>
          <w:tcPr>
            <w:tcW w:w="94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许可证件</w:t>
            </w:r>
          </w:p>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名    称</w:t>
            </w:r>
          </w:p>
        </w:tc>
        <w:tc>
          <w:tcPr>
            <w:tcW w:w="104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设定依据</w:t>
            </w:r>
          </w:p>
        </w:tc>
        <w:tc>
          <w:tcPr>
            <w:tcW w:w="8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审批层级和部门</w:t>
            </w:r>
          </w:p>
        </w:tc>
        <w:tc>
          <w:tcPr>
            <w:tcW w:w="2370" w:type="dxa"/>
            <w:gridSpan w:val="4"/>
            <w:tcBorders>
              <w:top w:val="single" w:color="auto" w:sz="4" w:space="0"/>
              <w:left w:val="nil"/>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改  革  方  式</w:t>
            </w:r>
          </w:p>
        </w:tc>
        <w:tc>
          <w:tcPr>
            <w:tcW w:w="2202"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topLinePunct/>
              <w:spacing w:line="280" w:lineRule="exact"/>
              <w:jc w:val="center"/>
              <w:rPr>
                <w:rFonts w:ascii="黑体" w:hAnsi="黑体" w:eastAsia="黑体" w:cs="黑体"/>
                <w:w w:val="90"/>
                <w:kern w:val="0"/>
                <w:sz w:val="18"/>
                <w:szCs w:val="18"/>
              </w:rPr>
            </w:pPr>
            <w:r>
              <w:rPr>
                <w:rFonts w:hint="eastAsia" w:ascii="黑体" w:hAnsi="黑体" w:eastAsia="黑体" w:cs="黑体"/>
                <w:w w:val="90"/>
                <w:kern w:val="0"/>
                <w:sz w:val="18"/>
                <w:szCs w:val="18"/>
              </w:rPr>
              <w:t>具 体 改 革 举 措</w:t>
            </w:r>
          </w:p>
        </w:tc>
        <w:tc>
          <w:tcPr>
            <w:tcW w:w="38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加 强 事 中 事 后 监 管 措 施</w:t>
            </w:r>
          </w:p>
        </w:tc>
      </w:tr>
      <w:tr>
        <w:tblPrEx>
          <w:tblLayout w:type="fixed"/>
          <w:tblCellMar>
            <w:top w:w="0" w:type="dxa"/>
            <w:left w:w="108" w:type="dxa"/>
            <w:bottom w:w="0" w:type="dxa"/>
            <w:right w:w="108" w:type="dxa"/>
          </w:tblCellMar>
        </w:tblPrEx>
        <w:trPr>
          <w:cantSplit/>
          <w:trHeight w:val="882" w:hRule="atLeast"/>
          <w:tblHeader/>
        </w:trPr>
        <w:tc>
          <w:tcPr>
            <w:tcW w:w="471" w:type="dxa"/>
            <w:vMerge w:val="continue"/>
            <w:tcBorders>
              <w:top w:val="nil"/>
              <w:left w:val="single" w:color="auto" w:sz="4" w:space="0"/>
              <w:bottom w:val="single" w:color="000000"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785" w:type="dxa"/>
            <w:vMerge w:val="continue"/>
            <w:tcBorders>
              <w:top w:val="nil"/>
              <w:left w:val="single" w:color="auto" w:sz="4" w:space="0"/>
              <w:bottom w:val="single" w:color="000000"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927" w:type="dxa"/>
            <w:vMerge w:val="continue"/>
            <w:tcBorders>
              <w:top w:val="nil"/>
              <w:left w:val="single" w:color="auto" w:sz="4" w:space="0"/>
              <w:bottom w:val="single" w:color="auto" w:sz="4" w:space="0"/>
              <w:right w:val="single" w:color="auto" w:sz="4" w:space="0"/>
            </w:tcBorders>
            <w:shd w:val="clear" w:color="auto" w:fill="auto"/>
            <w:vAlign w:val="center"/>
          </w:tcPr>
          <w:p>
            <w:pPr>
              <w:topLinePunct/>
              <w:spacing w:line="280" w:lineRule="exact"/>
              <w:rPr>
                <w:rFonts w:asciiTheme="minorEastAsia" w:hAnsiTheme="minorEastAsia" w:eastAsiaTheme="minorEastAsia" w:cstheme="minorEastAsia"/>
                <w:color w:val="000000"/>
                <w:w w:val="90"/>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1047" w:type="dxa"/>
            <w:vMerge w:val="continue"/>
            <w:tcBorders>
              <w:top w:val="nil"/>
              <w:left w:val="single" w:color="auto" w:sz="4" w:space="0"/>
              <w:bottom w:val="single" w:color="auto" w:sz="4" w:space="0"/>
              <w:right w:val="single" w:color="auto" w:sz="4" w:space="0"/>
            </w:tcBorders>
            <w:shd w:val="clear" w:color="auto" w:fill="auto"/>
            <w:vAlign w:val="center"/>
          </w:tcPr>
          <w:p>
            <w:pPr>
              <w:topLinePunct/>
              <w:spacing w:line="280" w:lineRule="exact"/>
              <w:rPr>
                <w:rFonts w:asciiTheme="minorEastAsia" w:hAnsiTheme="minorEastAsia" w:eastAsiaTheme="minorEastAsia" w:cstheme="minorEastAsia"/>
                <w:color w:val="000000"/>
                <w:w w:val="90"/>
                <w:kern w:val="0"/>
                <w:sz w:val="18"/>
                <w:szCs w:val="18"/>
              </w:rPr>
            </w:pPr>
          </w:p>
        </w:tc>
        <w:tc>
          <w:tcPr>
            <w:tcW w:w="881" w:type="dxa"/>
            <w:vMerge w:val="continue"/>
            <w:tcBorders>
              <w:top w:val="nil"/>
              <w:left w:val="single" w:color="auto" w:sz="4" w:space="0"/>
              <w:bottom w:val="single" w:color="auto" w:sz="4" w:space="0"/>
              <w:right w:val="single" w:color="auto" w:sz="4" w:space="0"/>
            </w:tcBorders>
            <w:shd w:val="clear" w:color="auto" w:fill="auto"/>
            <w:vAlign w:val="center"/>
          </w:tcPr>
          <w:p>
            <w:pPr>
              <w:topLinePunct/>
              <w:spacing w:line="280" w:lineRule="exact"/>
              <w:rPr>
                <w:rFonts w:asciiTheme="minorEastAsia" w:hAnsiTheme="minorEastAsia" w:eastAsiaTheme="minorEastAsia" w:cstheme="minorEastAsia"/>
                <w:color w:val="000000"/>
                <w:w w:val="90"/>
                <w:kern w:val="0"/>
                <w:sz w:val="18"/>
                <w:szCs w:val="18"/>
              </w:rPr>
            </w:pP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直接取消审批</w:t>
            </w: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审批改为备案</w:t>
            </w: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实行告知承诺</w:t>
            </w: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黑体" w:hAnsi="黑体" w:eastAsia="黑体" w:cs="黑体"/>
                <w:color w:val="000000"/>
                <w:w w:val="90"/>
                <w:kern w:val="0"/>
                <w:sz w:val="18"/>
                <w:szCs w:val="18"/>
              </w:rPr>
            </w:pPr>
            <w:r>
              <w:rPr>
                <w:rFonts w:hint="eastAsia" w:ascii="黑体" w:hAnsi="黑体" w:eastAsia="黑体" w:cs="黑体"/>
                <w:color w:val="000000"/>
                <w:w w:val="90"/>
                <w:kern w:val="0"/>
                <w:sz w:val="18"/>
                <w:szCs w:val="18"/>
              </w:rPr>
              <w:t>优化审批服务</w:t>
            </w:r>
          </w:p>
        </w:tc>
        <w:tc>
          <w:tcPr>
            <w:tcW w:w="2202" w:type="dxa"/>
            <w:vMerge w:val="continue"/>
            <w:tcBorders>
              <w:top w:val="nil"/>
              <w:left w:val="single" w:color="auto" w:sz="4" w:space="0"/>
              <w:bottom w:val="single" w:color="000000" w:sz="4" w:space="0"/>
              <w:right w:val="single" w:color="auto" w:sz="4" w:space="0"/>
            </w:tcBorders>
            <w:vAlign w:val="center"/>
          </w:tcPr>
          <w:p>
            <w:pPr>
              <w:topLinePunct/>
              <w:spacing w:line="280" w:lineRule="exact"/>
              <w:rPr>
                <w:rFonts w:asciiTheme="minorEastAsia" w:hAnsiTheme="minorEastAsia" w:eastAsiaTheme="minorEastAsia" w:cstheme="minorEastAsia"/>
                <w:w w:val="90"/>
                <w:kern w:val="0"/>
                <w:sz w:val="18"/>
                <w:szCs w:val="18"/>
              </w:rPr>
            </w:pPr>
          </w:p>
        </w:tc>
        <w:tc>
          <w:tcPr>
            <w:tcW w:w="3800" w:type="dxa"/>
            <w:vMerge w:val="continue"/>
            <w:tcBorders>
              <w:top w:val="nil"/>
              <w:left w:val="single" w:color="auto" w:sz="4" w:space="0"/>
              <w:bottom w:val="single" w:color="000000" w:sz="4" w:space="0"/>
              <w:right w:val="single" w:color="auto" w:sz="4" w:space="0"/>
            </w:tcBorders>
            <w:vAlign w:val="center"/>
          </w:tcPr>
          <w:p>
            <w:pPr>
              <w:topLinePunct/>
              <w:spacing w:line="280" w:lineRule="exact"/>
              <w:rPr>
                <w:rFonts w:asciiTheme="minorEastAsia" w:hAnsiTheme="minorEastAsia" w:eastAsiaTheme="minorEastAsia" w:cstheme="minorEastAsia"/>
                <w:color w:val="000000"/>
                <w:w w:val="90"/>
                <w:kern w:val="0"/>
                <w:sz w:val="18"/>
                <w:szCs w:val="18"/>
              </w:rPr>
            </w:pPr>
          </w:p>
        </w:tc>
      </w:tr>
      <w:tr>
        <w:tblPrEx>
          <w:tblLayout w:type="fixed"/>
          <w:tblCellMar>
            <w:top w:w="0" w:type="dxa"/>
            <w:left w:w="108" w:type="dxa"/>
            <w:bottom w:w="0" w:type="dxa"/>
            <w:right w:w="108" w:type="dxa"/>
          </w:tblCellMar>
        </w:tblPrEx>
        <w:trPr>
          <w:cantSplit/>
          <w:trHeight w:val="41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自治区自然资源厅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建筑物外立面装修审核</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《呼和浩特市市容环境卫生管理条例》；</w:t>
            </w:r>
            <w:r>
              <w:rPr>
                <w:rFonts w:hint="eastAsia" w:asciiTheme="minorEastAsia" w:hAnsiTheme="minorEastAsia" w:eastAsiaTheme="minorEastAsia" w:cstheme="minorEastAsia"/>
                <w:w w:val="90"/>
                <w:kern w:val="0"/>
                <w:sz w:val="18"/>
                <w:szCs w:val="18"/>
              </w:rPr>
              <w:t>《呼和浩特市人民政府关于同意下放市城市管理行政执法局部分审批事项审批权限的批复》</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spacing w:val="-11"/>
                <w:w w:val="90"/>
                <w:sz w:val="18"/>
                <w:szCs w:val="18"/>
              </w:rPr>
              <w:t>呼和浩特市行政审批和政务服务部门</w:t>
            </w:r>
            <w:r>
              <w:rPr>
                <w:rFonts w:hint="eastAsia" w:asciiTheme="minorEastAsia" w:hAnsiTheme="minorEastAsia" w:eastAsiaTheme="minorEastAsia" w:cstheme="minorEastAsia"/>
                <w:spacing w:val="-11"/>
                <w:w w:val="90"/>
                <w:sz w:val="18"/>
                <w:szCs w:val="18"/>
                <w:lang w:eastAsia="zh-CN"/>
              </w:rPr>
              <w:t>；</w:t>
            </w:r>
            <w:r>
              <w:rPr>
                <w:rFonts w:hint="eastAsia" w:asciiTheme="minorEastAsia" w:hAnsiTheme="minorEastAsia" w:eastAsiaTheme="minorEastAsia" w:cstheme="minorEastAsia"/>
                <w:w w:val="90"/>
                <w:sz w:val="18"/>
                <w:szCs w:val="18"/>
              </w:rPr>
              <w:t>旗县级行政审批和政务服务部门、城市管理综合执法部门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2202" w:type="dxa"/>
            <w:tcBorders>
              <w:top w:val="nil"/>
              <w:left w:val="nil"/>
              <w:bottom w:val="single" w:color="auto" w:sz="4" w:space="0"/>
              <w:right w:val="single" w:color="auto" w:sz="4" w:space="0"/>
            </w:tcBorders>
            <w:shd w:val="clear" w:color="000000" w:fill="FFFFFF"/>
            <w:vAlign w:val="center"/>
          </w:tcPr>
          <w:p>
            <w:pPr>
              <w:topLinePunct/>
              <w:spacing w:line="26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取消“</w:t>
            </w:r>
            <w:r>
              <w:rPr>
                <w:rFonts w:hint="eastAsia" w:asciiTheme="minorEastAsia" w:hAnsiTheme="minorEastAsia" w:eastAsiaTheme="minorEastAsia" w:cstheme="minorEastAsia"/>
                <w:w w:val="90"/>
                <w:sz w:val="18"/>
                <w:szCs w:val="18"/>
              </w:rPr>
              <w:t>建筑物外立面装修审核</w:t>
            </w:r>
            <w:r>
              <w:rPr>
                <w:rFonts w:hint="eastAsia" w:asciiTheme="minorEastAsia" w:hAnsiTheme="minorEastAsia" w:eastAsiaTheme="minorEastAsia" w:cstheme="minorEastAsia"/>
                <w:w w:val="90"/>
                <w:kern w:val="0"/>
                <w:sz w:val="18"/>
                <w:szCs w:val="18"/>
              </w:rPr>
              <w:t>”。</w:t>
            </w:r>
          </w:p>
          <w:p>
            <w:pPr>
              <w:topLinePunct/>
              <w:spacing w:line="260" w:lineRule="exact"/>
              <w:ind w:firstLine="324" w:firstLineChars="200"/>
              <w:rPr>
                <w:rFonts w:asciiTheme="minorEastAsia" w:hAnsiTheme="minorEastAsia" w:eastAsiaTheme="minorEastAsia" w:cstheme="minorEastAsia"/>
                <w:w w:val="90"/>
                <w:kern w:val="0"/>
                <w:sz w:val="18"/>
                <w:szCs w:val="18"/>
              </w:rPr>
            </w:pP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1.按照管辖区域划分，开展日常执法巡查。2.受理投诉举报。根据群众投诉举报，开展执法检查或依法进行查处。3.对市领导批办件、政府相关部门移送件、政府信箱转办件等进行查处。4.对未经核准或超出核准范</w:t>
            </w:r>
            <w:bookmarkStart w:id="0" w:name="_GoBack"/>
            <w:bookmarkEnd w:id="0"/>
            <w:r>
              <w:rPr>
                <w:rFonts w:hint="eastAsia" w:asciiTheme="minorEastAsia" w:hAnsiTheme="minorEastAsia" w:eastAsiaTheme="minorEastAsia" w:cstheme="minorEastAsia"/>
                <w:w w:val="90"/>
                <w:kern w:val="0"/>
                <w:sz w:val="18"/>
                <w:szCs w:val="18"/>
              </w:rPr>
              <w:t>围的违法违规行为进行立案查处。实施行政处罚时，责令当事人改正或者限期改正违法行为。行政处罚决定依法作出后，当事人应当在行政处罚决定规定的期限内予以履行。如不服行政处罚决定，依法申请行政复议或提起行政诉讼。</w:t>
            </w:r>
          </w:p>
        </w:tc>
      </w:tr>
      <w:tr>
        <w:tblPrEx>
          <w:tblLayout w:type="fixed"/>
          <w:tblCellMar>
            <w:top w:w="0" w:type="dxa"/>
            <w:left w:w="108" w:type="dxa"/>
            <w:bottom w:w="0" w:type="dxa"/>
            <w:right w:w="108" w:type="dxa"/>
          </w:tblCellMar>
        </w:tblPrEx>
        <w:trPr>
          <w:cantSplit/>
          <w:trHeight w:val="239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2</w:t>
            </w:r>
          </w:p>
        </w:tc>
        <w:tc>
          <w:tcPr>
            <w:tcW w:w="785" w:type="dxa"/>
            <w:tcBorders>
              <w:top w:val="nil"/>
              <w:left w:val="nil"/>
              <w:bottom w:val="single" w:color="auto" w:sz="4" w:space="0"/>
              <w:right w:val="single" w:color="auto" w:sz="4" w:space="0"/>
            </w:tcBorders>
            <w:shd w:val="clear" w:color="000000" w:fill="FFFFFF"/>
            <w:vAlign w:val="center"/>
          </w:tcPr>
          <w:p>
            <w:pPr>
              <w:topLinePunct/>
              <w:spacing w:line="300" w:lineRule="exact"/>
              <w:jc w:val="lef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自治区体育局</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举办体育竞赛活动的许可（仅指经营性、商业性竞赛活动）</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spacing w:val="-11"/>
                <w:w w:val="90"/>
                <w:kern w:val="0"/>
                <w:sz w:val="18"/>
                <w:szCs w:val="18"/>
              </w:rPr>
              <w:t>《内蒙古自治区实施&lt;中华</w:t>
            </w:r>
            <w:r>
              <w:rPr>
                <w:rFonts w:hint="eastAsia" w:asciiTheme="minorEastAsia" w:hAnsiTheme="minorEastAsia" w:eastAsiaTheme="minorEastAsia" w:cstheme="minorEastAsia"/>
                <w:spacing w:val="-6"/>
                <w:w w:val="90"/>
                <w:kern w:val="0"/>
                <w:sz w:val="18"/>
                <w:szCs w:val="18"/>
              </w:rPr>
              <w:t>人民共和国体育法&gt;办</w:t>
            </w:r>
            <w:r>
              <w:rPr>
                <w:rFonts w:hint="eastAsia" w:asciiTheme="minorEastAsia" w:hAnsiTheme="minorEastAsia" w:eastAsiaTheme="minorEastAsia" w:cstheme="minorEastAsia"/>
                <w:w w:val="90"/>
                <w:kern w:val="0"/>
                <w:sz w:val="18"/>
                <w:szCs w:val="18"/>
              </w:rPr>
              <w:t>法》、《内蒙古自治区体育市场管理</w:t>
            </w:r>
            <w:r>
              <w:rPr>
                <w:rFonts w:hint="eastAsia" w:asciiTheme="minorEastAsia" w:hAnsiTheme="minorEastAsia" w:eastAsiaTheme="minorEastAsia" w:cstheme="minorEastAsia"/>
                <w:w w:val="90"/>
                <w:kern w:val="0"/>
                <w:sz w:val="18"/>
                <w:szCs w:val="18"/>
                <w:shd w:val="clear" w:color="auto" w:fill="FFFFFF"/>
              </w:rPr>
              <w:t>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spacing w:val="-11"/>
                <w:w w:val="90"/>
                <w:sz w:val="18"/>
                <w:szCs w:val="18"/>
              </w:rPr>
              <w:t>自治区</w:t>
            </w:r>
            <w:r>
              <w:rPr>
                <w:rFonts w:hint="eastAsia" w:asciiTheme="minorEastAsia" w:hAnsiTheme="minorEastAsia" w:eastAsiaTheme="minorEastAsia" w:cstheme="minorEastAsia"/>
                <w:spacing w:val="-11"/>
                <w:w w:val="90"/>
                <w:sz w:val="18"/>
                <w:szCs w:val="18"/>
                <w:lang w:eastAsia="zh-CN"/>
              </w:rPr>
              <w:t>体育局；</w:t>
            </w:r>
            <w:r>
              <w:rPr>
                <w:rFonts w:hint="eastAsia" w:asciiTheme="minorEastAsia" w:hAnsiTheme="minorEastAsia" w:eastAsiaTheme="minorEastAsia" w:cstheme="minorEastAsia"/>
                <w:w w:val="90"/>
                <w:sz w:val="18"/>
                <w:szCs w:val="18"/>
              </w:rPr>
              <w:t>盟市、旗县级体育部门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2202"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取消该事项中的经营性、商业性赛事活动的审批</w:t>
            </w:r>
            <w:r>
              <w:rPr>
                <w:rFonts w:hint="eastAsia" w:asciiTheme="minorEastAsia" w:hAnsiTheme="minorEastAsia" w:eastAsiaTheme="minorEastAsia" w:cstheme="minorEastAsia"/>
                <w:w w:val="90"/>
                <w:kern w:val="0"/>
                <w:sz w:val="18"/>
                <w:szCs w:val="18"/>
                <w:lang w:eastAsia="zh-CN"/>
              </w:rPr>
              <w:t>，</w:t>
            </w:r>
            <w:r>
              <w:rPr>
                <w:rFonts w:hint="eastAsia" w:asciiTheme="minorEastAsia" w:hAnsiTheme="minorEastAsia" w:eastAsiaTheme="minorEastAsia" w:cstheme="minorEastAsia"/>
                <w:w w:val="90"/>
                <w:kern w:val="0"/>
                <w:sz w:val="18"/>
                <w:szCs w:val="18"/>
              </w:rPr>
              <w:t>保留“举办体育竞赛活动许可”事项。</w:t>
            </w:r>
          </w:p>
          <w:p>
            <w:pPr>
              <w:topLinePunct/>
              <w:spacing w:line="240" w:lineRule="exact"/>
              <w:rPr>
                <w:rFonts w:asciiTheme="minorEastAsia" w:hAnsiTheme="minorEastAsia" w:eastAsiaTheme="minorEastAsia" w:cstheme="minorEastAsia"/>
                <w:w w:val="90"/>
                <w:sz w:val="18"/>
                <w:szCs w:val="18"/>
              </w:rPr>
            </w:pPr>
          </w:p>
        </w:tc>
        <w:tc>
          <w:tcPr>
            <w:tcW w:w="3800"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1.开展“双随机、一公开”监管，依法查处违法违规行为并公开结果。2.制定事中事后监管方案。</w:t>
            </w:r>
          </w:p>
        </w:tc>
      </w:tr>
      <w:tr>
        <w:tblPrEx>
          <w:tblLayout w:type="fixed"/>
          <w:tblCellMar>
            <w:top w:w="0" w:type="dxa"/>
            <w:left w:w="108" w:type="dxa"/>
            <w:bottom w:w="0" w:type="dxa"/>
            <w:right w:w="108" w:type="dxa"/>
          </w:tblCellMar>
        </w:tblPrEx>
        <w:trPr>
          <w:cantSplit/>
          <w:trHeight w:val="508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3</w:t>
            </w:r>
          </w:p>
        </w:tc>
        <w:tc>
          <w:tcPr>
            <w:tcW w:w="785" w:type="dxa"/>
            <w:tcBorders>
              <w:top w:val="nil"/>
              <w:left w:val="nil"/>
              <w:bottom w:val="single" w:color="auto" w:sz="4" w:space="0"/>
              <w:right w:val="single" w:color="auto" w:sz="4" w:space="0"/>
            </w:tcBorders>
            <w:shd w:val="clear" w:color="000000" w:fill="FFFFFF"/>
            <w:vAlign w:val="center"/>
          </w:tcPr>
          <w:p>
            <w:pPr>
              <w:topLinePunct/>
              <w:spacing w:line="300" w:lineRule="exact"/>
              <w:jc w:val="lef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自治区民委</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textAlignment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翻译、书写、制作社会市面蒙汉两种文字资质</w:t>
            </w:r>
          </w:p>
          <w:p>
            <w:pPr>
              <w:topLinePunct/>
              <w:spacing w:line="280" w:lineRule="exac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kern w:val="0"/>
                <w:sz w:val="18"/>
                <w:szCs w:val="18"/>
              </w:rPr>
              <w:t>认定</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蒙汉文字制作许可证</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《呼和浩特市社会市面蒙汉两种文字并用管理办法》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呼和浩特市</w:t>
            </w:r>
            <w:r>
              <w:rPr>
                <w:rFonts w:hint="eastAsia" w:asciiTheme="minorEastAsia" w:hAnsiTheme="minorEastAsia" w:eastAsiaTheme="minorEastAsia" w:cstheme="minorEastAsia"/>
                <w:w w:val="90"/>
                <w:sz w:val="18"/>
                <w:szCs w:val="18"/>
                <w:lang w:eastAsia="zh-CN"/>
              </w:rPr>
              <w:t>各</w:t>
            </w:r>
            <w:r>
              <w:rPr>
                <w:rFonts w:hint="eastAsia" w:asciiTheme="minorEastAsia" w:hAnsiTheme="minorEastAsia" w:eastAsiaTheme="minorEastAsia" w:cstheme="minorEastAsia"/>
                <w:w w:val="90"/>
                <w:sz w:val="18"/>
                <w:szCs w:val="18"/>
              </w:rPr>
              <w:t>旗县级民族事务管理部门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2202"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企业完成备案手续后即可开展经营。企业按规定提交备案材料的，有关主管部门应当办理备案手续。1.企业向旗县区民族</w:t>
            </w:r>
            <w:r>
              <w:rPr>
                <w:rFonts w:hint="eastAsia" w:asciiTheme="minorEastAsia" w:hAnsiTheme="minorEastAsia" w:eastAsiaTheme="minorEastAsia" w:cstheme="minorEastAsia"/>
                <w:w w:val="90"/>
                <w:sz w:val="18"/>
                <w:szCs w:val="18"/>
                <w:lang w:eastAsia="zh-CN"/>
              </w:rPr>
              <w:t>事务管理</w:t>
            </w:r>
            <w:r>
              <w:rPr>
                <w:rFonts w:hint="eastAsia" w:asciiTheme="minorEastAsia" w:hAnsiTheme="minorEastAsia" w:eastAsiaTheme="minorEastAsia" w:cstheme="minorEastAsia"/>
                <w:w w:val="90"/>
                <w:sz w:val="18"/>
                <w:szCs w:val="18"/>
              </w:rPr>
              <w:t>部门提交材料；(1)法人身份证原件及复印件（查验原件，留存复印件。（2）营业执照原件及复印件（查验原件，留存复印件）。(3)专兼职翻译人员专业技术资格证（或其他证件）原件及复印件。(4)翻译人员聘用合同原件。2.填写《蒙汉文牌匾制作企业备案表》一式两份。3.由民族</w:t>
            </w:r>
            <w:r>
              <w:rPr>
                <w:rFonts w:hint="eastAsia" w:asciiTheme="minorEastAsia" w:hAnsiTheme="minorEastAsia" w:eastAsiaTheme="minorEastAsia" w:cstheme="minorEastAsia"/>
                <w:w w:val="90"/>
                <w:sz w:val="18"/>
                <w:szCs w:val="18"/>
                <w:lang w:eastAsia="zh-CN"/>
              </w:rPr>
              <w:t>事务管理</w:t>
            </w:r>
            <w:r>
              <w:rPr>
                <w:rFonts w:hint="eastAsia" w:asciiTheme="minorEastAsia" w:hAnsiTheme="minorEastAsia" w:eastAsiaTheme="minorEastAsia" w:cstheme="minorEastAsia"/>
                <w:w w:val="90"/>
                <w:sz w:val="18"/>
                <w:szCs w:val="18"/>
              </w:rPr>
              <w:t>部门对现场进行核查所提交材料是否真实。4.各旗县区民族</w:t>
            </w:r>
            <w:r>
              <w:rPr>
                <w:rFonts w:hint="eastAsia" w:asciiTheme="minorEastAsia" w:hAnsiTheme="minorEastAsia" w:eastAsiaTheme="minorEastAsia" w:cstheme="minorEastAsia"/>
                <w:w w:val="90"/>
                <w:sz w:val="18"/>
                <w:szCs w:val="18"/>
                <w:lang w:eastAsia="zh-CN"/>
              </w:rPr>
              <w:t>事务管理</w:t>
            </w:r>
            <w:r>
              <w:rPr>
                <w:rFonts w:hint="eastAsia" w:asciiTheme="minorEastAsia" w:hAnsiTheme="minorEastAsia" w:eastAsiaTheme="minorEastAsia" w:cstheme="minorEastAsia"/>
                <w:w w:val="90"/>
                <w:sz w:val="18"/>
                <w:szCs w:val="18"/>
              </w:rPr>
              <w:t>部门批复，准予备案（盖章）。</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坚持政府主导、企业自治、行业自律、社会监督、压实企业主体责任，支持企业提升自律水平，开展“双随机、一公开”等监管，要督促有关企业按规定履行备案手续，对未按规定备案或者提交虚假备案材料的要依法调查处理。</w:t>
            </w:r>
          </w:p>
        </w:tc>
      </w:tr>
      <w:tr>
        <w:tblPrEx>
          <w:tblLayout w:type="fixed"/>
          <w:tblCellMar>
            <w:top w:w="0" w:type="dxa"/>
            <w:left w:w="108" w:type="dxa"/>
            <w:bottom w:w="0" w:type="dxa"/>
            <w:right w:w="108" w:type="dxa"/>
          </w:tblCellMar>
        </w:tblPrEx>
        <w:trPr>
          <w:cantSplit/>
          <w:trHeight w:val="442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4</w:t>
            </w:r>
          </w:p>
        </w:tc>
        <w:tc>
          <w:tcPr>
            <w:tcW w:w="785" w:type="dxa"/>
            <w:tcBorders>
              <w:top w:val="nil"/>
              <w:left w:val="nil"/>
              <w:bottom w:val="single" w:color="auto" w:sz="4" w:space="0"/>
              <w:right w:val="single" w:color="auto" w:sz="4" w:space="0"/>
            </w:tcBorders>
            <w:shd w:val="clear" w:color="000000" w:fill="FFFFFF"/>
            <w:vAlign w:val="center"/>
          </w:tcPr>
          <w:p>
            <w:pPr>
              <w:topLinePunct/>
              <w:spacing w:line="300" w:lineRule="exact"/>
              <w:jc w:val="lef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自治区民委</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textAlignment w:val="center"/>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kern w:val="0"/>
                <w:sz w:val="18"/>
                <w:szCs w:val="18"/>
              </w:rPr>
              <w:t>清真食品经营许可</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清真食品经营许可证</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《呼和浩特市清真食品管理办法》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呼和浩特市</w:t>
            </w:r>
            <w:r>
              <w:rPr>
                <w:rFonts w:hint="eastAsia" w:asciiTheme="minorEastAsia" w:hAnsiTheme="minorEastAsia" w:eastAsiaTheme="minorEastAsia" w:cstheme="minorEastAsia"/>
                <w:w w:val="90"/>
                <w:sz w:val="18"/>
                <w:szCs w:val="18"/>
                <w:lang w:eastAsia="zh-CN"/>
              </w:rPr>
              <w:t>市</w:t>
            </w:r>
            <w:r>
              <w:rPr>
                <w:rFonts w:hint="eastAsia" w:asciiTheme="minorEastAsia" w:hAnsiTheme="minorEastAsia" w:eastAsiaTheme="minorEastAsia" w:cstheme="minorEastAsia"/>
                <w:w w:val="90"/>
                <w:sz w:val="18"/>
                <w:szCs w:val="18"/>
              </w:rPr>
              <w:t>级</w:t>
            </w:r>
            <w:r>
              <w:rPr>
                <w:rFonts w:hint="eastAsia" w:asciiTheme="minorEastAsia" w:hAnsiTheme="minorEastAsia" w:eastAsiaTheme="minorEastAsia" w:cstheme="minorEastAsia"/>
                <w:w w:val="90"/>
                <w:sz w:val="18"/>
                <w:szCs w:val="18"/>
                <w:lang w:eastAsia="zh-CN"/>
              </w:rPr>
              <w:t>、</w:t>
            </w:r>
            <w:r>
              <w:rPr>
                <w:rFonts w:hint="eastAsia" w:asciiTheme="minorEastAsia" w:hAnsiTheme="minorEastAsia" w:eastAsiaTheme="minorEastAsia" w:cstheme="minorEastAsia"/>
                <w:w w:val="90"/>
                <w:sz w:val="18"/>
                <w:szCs w:val="18"/>
              </w:rPr>
              <w:t>旗县级民族事务管理部门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2202"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企业完成备案手续后即可开展经营。企业按规定提交备案材料的，有关主管部门应当办理备案手续。1.企业向旗县区民族</w:t>
            </w:r>
            <w:r>
              <w:rPr>
                <w:rFonts w:hint="eastAsia" w:asciiTheme="minorEastAsia" w:hAnsiTheme="minorEastAsia" w:eastAsiaTheme="minorEastAsia" w:cstheme="minorEastAsia"/>
                <w:w w:val="90"/>
                <w:sz w:val="18"/>
                <w:szCs w:val="18"/>
                <w:lang w:eastAsia="zh-CN"/>
              </w:rPr>
              <w:t>事务管理</w:t>
            </w:r>
            <w:r>
              <w:rPr>
                <w:rFonts w:hint="eastAsia" w:asciiTheme="minorEastAsia" w:hAnsiTheme="minorEastAsia" w:eastAsiaTheme="minorEastAsia" w:cstheme="minorEastAsia"/>
                <w:w w:val="90"/>
                <w:sz w:val="18"/>
                <w:szCs w:val="18"/>
              </w:rPr>
              <w:t>部门提交材料：(1)法人身份证原件及复印件（查验原件，留存复印件）。（2）营业执照原件及复印件（查验原件，留存复印件）。2.填写《清真食品经营备案表》一式两份。3.由民族</w:t>
            </w:r>
            <w:r>
              <w:rPr>
                <w:rFonts w:hint="eastAsia" w:asciiTheme="minorEastAsia" w:hAnsiTheme="minorEastAsia" w:eastAsiaTheme="minorEastAsia" w:cstheme="minorEastAsia"/>
                <w:w w:val="90"/>
                <w:sz w:val="18"/>
                <w:szCs w:val="18"/>
                <w:lang w:eastAsia="zh-CN"/>
              </w:rPr>
              <w:t>事务管理</w:t>
            </w:r>
            <w:r>
              <w:rPr>
                <w:rFonts w:hint="eastAsia" w:asciiTheme="minorEastAsia" w:hAnsiTheme="minorEastAsia" w:eastAsiaTheme="minorEastAsia" w:cstheme="minorEastAsia"/>
                <w:w w:val="90"/>
                <w:sz w:val="18"/>
                <w:szCs w:val="18"/>
              </w:rPr>
              <w:t>部门对现场进行核查所提交材料是否真实。4.民族</w:t>
            </w:r>
            <w:r>
              <w:rPr>
                <w:rFonts w:hint="eastAsia" w:asciiTheme="minorEastAsia" w:hAnsiTheme="minorEastAsia" w:eastAsiaTheme="minorEastAsia" w:cstheme="minorEastAsia"/>
                <w:w w:val="90"/>
                <w:sz w:val="18"/>
                <w:szCs w:val="18"/>
                <w:lang w:eastAsia="zh-CN"/>
              </w:rPr>
              <w:t>事务管理</w:t>
            </w:r>
            <w:r>
              <w:rPr>
                <w:rFonts w:hint="eastAsia" w:asciiTheme="minorEastAsia" w:hAnsiTheme="minorEastAsia" w:eastAsiaTheme="minorEastAsia" w:cstheme="minorEastAsia"/>
                <w:w w:val="90"/>
                <w:sz w:val="18"/>
                <w:szCs w:val="18"/>
              </w:rPr>
              <w:t>部门批复，准予备案（盖章）。</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坚持政府主导、企业自治、行业自律、社会监督、压实企业主体责任，支持企业提升自律水平，开展“双随机、一公开”等监管，要督促有关企业按规定履行备案手续，对未按规定备案或者提交虚假备案材料的要依法调查处理。</w:t>
            </w:r>
          </w:p>
        </w:tc>
      </w:tr>
      <w:tr>
        <w:tblPrEx>
          <w:tblLayout w:type="fixed"/>
          <w:tblCellMar>
            <w:top w:w="0" w:type="dxa"/>
            <w:left w:w="108" w:type="dxa"/>
            <w:bottom w:w="0" w:type="dxa"/>
            <w:right w:w="108" w:type="dxa"/>
          </w:tblCellMar>
        </w:tblPrEx>
        <w:trPr>
          <w:cantSplit/>
          <w:trHeight w:val="313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5</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自治区林草局</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在国有林区开发森林旅游建设项目审批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shd w:val="clear" w:color="auto" w:fill="FFFFFF"/>
              </w:rPr>
            </w:pPr>
            <w:r>
              <w:rPr>
                <w:rFonts w:hint="eastAsia" w:asciiTheme="minorEastAsia" w:hAnsiTheme="minorEastAsia" w:eastAsiaTheme="minorEastAsia" w:cstheme="minorEastAsia"/>
                <w:w w:val="90"/>
                <w:kern w:val="0"/>
                <w:sz w:val="18"/>
                <w:szCs w:val="18"/>
                <w:shd w:val="clear" w:color="auto" w:fill="FFFFFF"/>
              </w:rPr>
              <w:t>《内蒙古自治区实施&lt;中华人民共和国森林法&gt;办法》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盟市、旗县级林草部门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r>
              <w:rPr>
                <w:rFonts w:hint="eastAsia" w:asciiTheme="minorEastAsia" w:hAnsiTheme="minorEastAsia" w:eastAsiaTheme="minorEastAsia" w:cstheme="minorEastAsia"/>
                <w:w w:val="90"/>
                <w:kern w:val="0"/>
                <w:sz w:val="18"/>
                <w:szCs w:val="18"/>
              </w:rPr>
              <w:t>√</w:t>
            </w: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实行告知承诺制，申请人签订承诺书，对可在申请人领证后补交的审批材料，实行限期补交。限期补交的材料不符合许可条件的，应依法撤回许可，并依法调查处理，并将失信违法行为记入企业信用记录，依法依规实施失信惩戒。</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对以告知承诺方式取得许可的企业，加强对其承诺内容真实性的核查，发现虚假承诺或承诺严重不实的要依法处理。</w:t>
            </w:r>
          </w:p>
        </w:tc>
      </w:tr>
      <w:tr>
        <w:tblPrEx>
          <w:tblLayout w:type="fixed"/>
          <w:tblCellMar>
            <w:top w:w="0" w:type="dxa"/>
            <w:left w:w="108" w:type="dxa"/>
            <w:bottom w:w="0" w:type="dxa"/>
            <w:right w:w="108" w:type="dxa"/>
          </w:tblCellMar>
        </w:tblPrEx>
        <w:trPr>
          <w:cantSplit/>
          <w:trHeight w:val="577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6</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自治区住房和城乡建设厅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rPr>
              <w:t>临时占用城市公共用地进行宣传、庆典、节庆、商业体育活动的行政许可</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shd w:val="clear" w:color="auto" w:fill="FFFFFF"/>
              </w:rPr>
            </w:pPr>
            <w:r>
              <w:rPr>
                <w:rFonts w:hint="eastAsia" w:asciiTheme="minorEastAsia" w:hAnsiTheme="minorEastAsia" w:eastAsiaTheme="minorEastAsia" w:cstheme="minorEastAsia"/>
                <w:w w:val="90"/>
                <w:sz w:val="18"/>
                <w:szCs w:val="18"/>
              </w:rPr>
              <w:t>《呼和浩特市市容环境卫生管理条例》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呼和浩特市各旗县级行政审批和政务服务部门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2202" w:type="dxa"/>
            <w:tcBorders>
              <w:top w:val="nil"/>
              <w:left w:val="nil"/>
              <w:bottom w:val="single" w:color="auto" w:sz="4" w:space="0"/>
              <w:right w:val="single" w:color="auto" w:sz="4" w:space="0"/>
            </w:tcBorders>
            <w:shd w:val="clear" w:color="000000" w:fill="FFFFFF"/>
            <w:vAlign w:val="center"/>
          </w:tcPr>
          <w:p>
            <w:pPr>
              <w:topLinePunct/>
              <w:spacing w:line="26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制订并公布告知承诺书格式文本，一次性告知申请人许可条件和所需材料，即①申请报告（申请单位、发布地点、占地位置、占地面积、活动类型、活动方式、法人代表、联系电话）；②使用活动场所或有关载体的证明资料。符合条件的申请人只要递交了规定的申请材料并承诺符合审批条件，签署《告知承诺书》后，许可机关当场作出许可决定，发放标有“承诺审批”字样的“关于对临时占用城市公共用地进行宣传、庆典、节庆、商业体育活动的批复”，并通过审管互动平台或者函书等方式将申请人材料、告知承诺书和办理结果推送至城市管理监管部门。</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按照管辖区域划分，开展日常执法巡查。2.受理投诉举报。根据群众投诉举报，开展执法检查或依法进行查处。3.对市领导批办件、政府相关部门移送件、政府信箱转办件等进行查处。4.对未经批准或超出批复范围的违法违规行为进行立案查处。实施行政处罚时，责令当事人改正或者限期改正违法行为。行政处罚决定依法作出后，当事人应当在行政处罚决定规定的期限内予以履行。如不服行政处罚决定，依法申请行政复议或提起行政诉讼。</w:t>
            </w:r>
          </w:p>
        </w:tc>
      </w:tr>
      <w:tr>
        <w:tblPrEx>
          <w:tblLayout w:type="fixed"/>
          <w:tblCellMar>
            <w:top w:w="0" w:type="dxa"/>
            <w:left w:w="108" w:type="dxa"/>
            <w:bottom w:w="0" w:type="dxa"/>
            <w:right w:w="108" w:type="dxa"/>
          </w:tblCellMar>
        </w:tblPrEx>
        <w:trPr>
          <w:cantSplit/>
          <w:trHeight w:val="173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7</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sz w:val="18"/>
                <w:szCs w:val="18"/>
              </w:rPr>
              <w:t>自治区住房和城乡建设厅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供热经营许可</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供热经营许可证</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kern w:val="0"/>
                <w:sz w:val="18"/>
                <w:szCs w:val="18"/>
                <w:shd w:val="clear" w:color="auto" w:fill="FFFFFF"/>
              </w:rPr>
              <w:t>《内蒙古自治区城镇供热条例》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kern w:val="0"/>
                <w:sz w:val="18"/>
                <w:szCs w:val="18"/>
              </w:rPr>
              <w:t>盟市、旗县级</w:t>
            </w:r>
            <w:r>
              <w:rPr>
                <w:rFonts w:hint="eastAsia" w:asciiTheme="minorEastAsia" w:hAnsiTheme="minorEastAsia" w:eastAsiaTheme="minorEastAsia" w:cstheme="minorEastAsia"/>
                <w:w w:val="90"/>
                <w:sz w:val="18"/>
                <w:szCs w:val="18"/>
              </w:rPr>
              <w:t>住房和城乡建设部门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color w:val="000000"/>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kern w:val="0"/>
                <w:sz w:val="18"/>
                <w:szCs w:val="18"/>
              </w:rPr>
              <w:t>1.实行电子化申报和审批。2.不再要求申请人提供人员身份证明、社保证明、资质资格证书等材料。</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sz w:val="18"/>
                <w:szCs w:val="18"/>
              </w:rPr>
            </w:pPr>
            <w:r>
              <w:rPr>
                <w:rFonts w:hint="eastAsia" w:asciiTheme="minorEastAsia" w:hAnsiTheme="minorEastAsia" w:eastAsiaTheme="minorEastAsia" w:cstheme="minorEastAsia"/>
                <w:w w:val="90"/>
                <w:kern w:val="0"/>
                <w:sz w:val="18"/>
                <w:szCs w:val="18"/>
              </w:rPr>
              <w:t>1.开展“双随机、一公开”监管，通过信息公示、抽查、抽验等方式，综合运用提醒、约谈、告诫等手段，依法查处违法违规行为并公开结果。2.加强信用监管，依法依规对失信主体开展失信惩戒。</w:t>
            </w:r>
          </w:p>
        </w:tc>
      </w:tr>
      <w:tr>
        <w:tblPrEx>
          <w:tblLayout w:type="fixed"/>
          <w:tblCellMar>
            <w:top w:w="0" w:type="dxa"/>
            <w:left w:w="108" w:type="dxa"/>
            <w:bottom w:w="0" w:type="dxa"/>
            <w:right w:w="108" w:type="dxa"/>
          </w:tblCellMar>
        </w:tblPrEx>
        <w:trPr>
          <w:cantSplit/>
          <w:trHeight w:val="249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8</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自治区水利厅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新建、改建、扩建农村牧区饮用水供水工程审查</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shd w:val="clear" w:color="auto" w:fill="FFFFFF"/>
              </w:rPr>
              <w:t>《内蒙古自治区农村牧区饮用水供水条例》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盟市、旗县级水利部门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1.简化优化审批证明材料，明确证明材料清单，推进部分证明材料实施承诺制改革。2.简化技术审查环节，细化明确报告书技术审查标准，报告书技术审查时限进一步优化（不含报告书修改时间）。</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1.开展“双随机、一公开”监管，对发现报告弄虚作假、批建不符等违法行为的，要依法查处并向社会公开。2.加强信用监管，将相关违法信息纳入社会征信体系，依法依规对失信主体开展失信惩戒。</w:t>
            </w:r>
          </w:p>
        </w:tc>
      </w:tr>
      <w:tr>
        <w:tblPrEx>
          <w:tblLayout w:type="fixed"/>
          <w:tblCellMar>
            <w:top w:w="0" w:type="dxa"/>
            <w:left w:w="108" w:type="dxa"/>
            <w:bottom w:w="0" w:type="dxa"/>
            <w:right w:w="108" w:type="dxa"/>
          </w:tblCellMar>
        </w:tblPrEx>
        <w:trPr>
          <w:cantSplit/>
          <w:trHeight w:val="308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9</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自治区农牧厅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在自治区境内捕捞哲罗鱼、细鳞鱼、鲟鱼、鰉鱼、水獭、兰州鲶、黄河鲤、陈旗鲫、卤虫审批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特许捕捞许可证</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shd w:val="clear" w:color="auto" w:fill="FFFFFF"/>
              </w:rPr>
              <w:t>《内蒙古自治区实施&lt;中华人民共和国渔业法&gt;办法》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盟市级农牧部门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优化审批服务，简化审批流程，缩短审批时间。</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1.开展监管执法，发现违法违规行为要依法查处。2.公布举报电话，重点水域实施重点监管。3.依法及时处理投诉举报，处理结果依法向社会公开。</w:t>
            </w:r>
          </w:p>
        </w:tc>
      </w:tr>
      <w:tr>
        <w:tblPrEx>
          <w:tblLayout w:type="fixed"/>
          <w:tblCellMar>
            <w:top w:w="0" w:type="dxa"/>
            <w:left w:w="108" w:type="dxa"/>
            <w:bottom w:w="0" w:type="dxa"/>
            <w:right w:w="108" w:type="dxa"/>
          </w:tblCellMar>
        </w:tblPrEx>
        <w:trPr>
          <w:cantSplit/>
          <w:trHeight w:val="1958"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10</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自治区农牧厅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自治区重要渔业水域捕捞许可证审批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特许捕捞许可证</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《内蒙古自治区实施&lt;中华人民共和国渔业法&gt;办法》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盟市级农牧部门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优化审批服务，简化审批流程，缩短审批时间。</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1.开展监管执法，发现违法违规行为要依法查处。2.公布举报电话，重点水域实施重点监管。3.依法及时处理投诉举报，处理结果依法向社会公开。</w:t>
            </w:r>
          </w:p>
        </w:tc>
      </w:tr>
      <w:tr>
        <w:tblPrEx>
          <w:tblLayout w:type="fixed"/>
          <w:tblCellMar>
            <w:top w:w="0" w:type="dxa"/>
            <w:left w:w="108" w:type="dxa"/>
            <w:bottom w:w="0" w:type="dxa"/>
            <w:right w:w="108" w:type="dxa"/>
          </w:tblCellMar>
        </w:tblPrEx>
        <w:trPr>
          <w:cantSplit/>
          <w:trHeight w:val="755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11</w:t>
            </w:r>
          </w:p>
        </w:tc>
        <w:tc>
          <w:tcPr>
            <w:tcW w:w="785" w:type="dxa"/>
            <w:tcBorders>
              <w:top w:val="nil"/>
              <w:left w:val="nil"/>
              <w:bottom w:val="single" w:color="auto" w:sz="4" w:space="0"/>
              <w:right w:val="single" w:color="auto" w:sz="4" w:space="0"/>
            </w:tcBorders>
            <w:shd w:val="clear" w:color="000000" w:fill="FFFFFF"/>
            <w:vAlign w:val="center"/>
          </w:tcPr>
          <w:p>
            <w:pPr>
              <w:topLinePunct/>
              <w:spacing w:line="30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自治区市场</w:t>
            </w:r>
            <w:r>
              <w:rPr>
                <w:rFonts w:hint="eastAsia" w:asciiTheme="minorEastAsia" w:hAnsiTheme="minorEastAsia" w:eastAsiaTheme="minorEastAsia" w:cstheme="minorEastAsia"/>
                <w:w w:val="90"/>
                <w:sz w:val="18"/>
                <w:szCs w:val="18"/>
                <w:lang w:eastAsia="zh-CN"/>
              </w:rPr>
              <w:t>监管</w:t>
            </w:r>
            <w:r>
              <w:rPr>
                <w:rFonts w:hint="eastAsia" w:asciiTheme="minorEastAsia" w:hAnsiTheme="minorEastAsia" w:eastAsiaTheme="minorEastAsia" w:cstheme="minorEastAsia"/>
                <w:w w:val="90"/>
                <w:sz w:val="18"/>
                <w:szCs w:val="18"/>
              </w:rPr>
              <w:t>局</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食品小作坊登记</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食品小作坊登记证书</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《内蒙古自治区食品生产加工小作坊和食品摊贩管理条例》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旗县级市场监管部门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r>
              <w:rPr>
                <w:rFonts w:hint="eastAsia" w:asciiTheme="minorEastAsia" w:hAnsiTheme="minorEastAsia" w:eastAsiaTheme="minorEastAsia" w:cstheme="minorEastAsia"/>
                <w:color w:val="000000"/>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强化监管服务，加强指导帮扶，促进提升小作坊食品安全管理水平。</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2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开展小作坊摸底建档工作。要按照《自治区市场监管局关于印发〈内蒙古自治区食品生产加工小作坊摸底建档办法〉的通知》（内市监食生字〔2020〕230号），规范小作坊登记管理工作，建立本行政区域小作坊名录库。组织开展小作坊日常</w:t>
            </w:r>
            <w:r>
              <w:rPr>
                <w:rFonts w:hint="eastAsia" w:asciiTheme="minorEastAsia" w:hAnsiTheme="minorEastAsia" w:eastAsiaTheme="minorEastAsia" w:cstheme="minorEastAsia"/>
                <w:spacing w:val="-4"/>
                <w:w w:val="90"/>
                <w:kern w:val="0"/>
                <w:sz w:val="18"/>
                <w:szCs w:val="18"/>
              </w:rPr>
              <w:t>摸排工作，确保小作坊建档率和登记率达到100%。</w:t>
            </w:r>
            <w:r>
              <w:rPr>
                <w:rFonts w:hint="eastAsia" w:asciiTheme="minorEastAsia" w:hAnsiTheme="minorEastAsia" w:eastAsiaTheme="minorEastAsia" w:cstheme="minorEastAsia"/>
                <w:w w:val="90"/>
                <w:kern w:val="0"/>
                <w:sz w:val="18"/>
                <w:szCs w:val="18"/>
              </w:rPr>
              <w:t>2.严格落实小作坊开办者食品安全主体责任。要督促小作坊严格落实食品安全主体责任，告知小作坊开办者禁止生产加工的食品品种，以及应当遵守的食品安全法律法规、食品生产卫生规范和食品安全标准。小作坊开办者要加强食品原料和辅料的采购、贮存和投料管理，执行从业人员健康管理制度和小作坊食品生产卫生规范，在生产经营场所明示食品安全承诺，保证所生产的食品卫生、无毒无害，自觉接受社会监督。3.加强小作坊日常监管。要依据食品安全相关法律法规对小作坊开展日常监督检查，重点检查小作坊卫生条件、食品原料采购使用、食品添加剂使用、从业人员健康管理。包装食品的标签标识和食品贮存等。加大对小作坊产品风险监测和监督抽检力度，对抽检不合格的，要帮助小作坊查找原因，提出整改措施，并监督整改到位。4.集中分类开展专项整治。要根据辖区小作坊分布情况，认真查找分析区域性、行业性潜规则，针对肉制品、食用植物油、粮食加工品、饮料、淀粉制品等重点产品集中开展综合治理。5.鼓励小作坊提档升级。要强化监管服务，加强指导帮扶，促进提升小作坊食品安全管理水平,推动小作坊由“小散低”向“精特美”转型升级。鼓励小作坊改进设备工艺、加强创新研发，以传统工艺为依托，采用优质食品原料，推进小作坊食品优质化。鼓励具备条件的小作坊申请食品生产许可，推进生产加工规模化和规范化。</w:t>
            </w:r>
          </w:p>
        </w:tc>
      </w:tr>
      <w:tr>
        <w:tblPrEx>
          <w:tblLayout w:type="fixed"/>
          <w:tblCellMar>
            <w:top w:w="0" w:type="dxa"/>
            <w:left w:w="108" w:type="dxa"/>
            <w:bottom w:w="0" w:type="dxa"/>
            <w:right w:w="108" w:type="dxa"/>
          </w:tblCellMar>
        </w:tblPrEx>
        <w:trPr>
          <w:cantSplit/>
          <w:trHeight w:val="1931"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12</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自治区林草局</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出售、购买、利用自治区重点保护陆生野生动物及其制品审批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准予行政许可决定书</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shd w:val="clear" w:color="auto" w:fill="FFFFFF"/>
              </w:rPr>
              <w:t>《内蒙古自治区实施&lt;中华人民共和国野生动物保护法&gt;办法》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盟市级林草部门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不再要求提供申请人和委托代理人身份证等材料。</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1.严格执行有关法律法规和标准，对出售、购买、利用自治区重点陆生野生动物及其制品审批的申请主体加强监管。2.加强信用监管，依法向社会公布信用状况，依法依规对失信主体开展失信惩戒。</w:t>
            </w:r>
          </w:p>
        </w:tc>
      </w:tr>
      <w:tr>
        <w:tblPrEx>
          <w:tblLayout w:type="fixed"/>
          <w:tblCellMar>
            <w:top w:w="0" w:type="dxa"/>
            <w:left w:w="108" w:type="dxa"/>
            <w:bottom w:w="0" w:type="dxa"/>
            <w:right w:w="108" w:type="dxa"/>
          </w:tblCellMar>
        </w:tblPrEx>
        <w:trPr>
          <w:cantSplit/>
          <w:trHeight w:val="2139"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13</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自治区林草局</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出售、购买、利用有重要生态、科学、社会价值的陆生野生动物及其制品审批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准予行政许可决定书</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shd w:val="clear" w:color="auto" w:fill="FFFFFF"/>
              </w:rPr>
              <w:t>《内蒙古自治区实施&lt;中华人民共和国野生动物保护法&gt;办法》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旗县级林草部门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不再要求提供证明申请人和委托代理人身份的有效文件或材料及代理关系证明等材料。</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严格执行有关法律法规和标准，对出售、购买、利用有重要生态、科学、社会价值的陆生野生动物及其制品审批的申请主体加强监管。2.加强信用监管，依法向社会公布信用状况，依法依规对失信主体开展失信惩戒。</w:t>
            </w:r>
          </w:p>
        </w:tc>
      </w:tr>
      <w:tr>
        <w:tblPrEx>
          <w:tblLayout w:type="fixed"/>
          <w:tblCellMar>
            <w:top w:w="0" w:type="dxa"/>
            <w:left w:w="108" w:type="dxa"/>
            <w:bottom w:w="0" w:type="dxa"/>
            <w:right w:w="108" w:type="dxa"/>
          </w:tblCellMar>
        </w:tblPrEx>
        <w:trPr>
          <w:cantSplit/>
          <w:trHeight w:val="262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14</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自治区地方金融监管局</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地方金融组织的设立、合并、分立、确定经营范围和区域、减少注册资本等行政许可</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地方金融组织</w:t>
            </w:r>
            <w:r>
              <w:rPr>
                <w:rFonts w:asciiTheme="minorEastAsia" w:hAnsiTheme="minorEastAsia" w:eastAsiaTheme="minorEastAsia" w:cstheme="minorEastAsia"/>
                <w:w w:val="90"/>
                <w:sz w:val="18"/>
                <w:szCs w:val="18"/>
              </w:rPr>
              <w:t>业务经营许可证</w:t>
            </w:r>
            <w:r>
              <w:rPr>
                <w:rFonts w:hint="eastAsia" w:asciiTheme="minorEastAsia" w:hAnsiTheme="minorEastAsia" w:eastAsiaTheme="minorEastAsia" w:cstheme="minorEastAsia"/>
                <w:w w:val="90"/>
                <w:sz w:val="18"/>
                <w:szCs w:val="18"/>
              </w:rPr>
              <w:t>或批复文件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《内蒙古自治区地方金融监督管理条例》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自治区地方金融监管局</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color w:val="000000"/>
                <w:w w:val="90"/>
                <w:kern w:val="0"/>
                <w:sz w:val="18"/>
                <w:szCs w:val="18"/>
              </w:rPr>
            </w:pPr>
            <w:r>
              <w:rPr>
                <w:rFonts w:hint="eastAsia" w:asciiTheme="minorEastAsia" w:hAnsiTheme="minorEastAsia" w:eastAsiaTheme="minorEastAsia" w:cstheme="minorEastAsia"/>
                <w:color w:val="000000"/>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1.实现申请、审批全程网上办理。2.将审批时限由90个工作日压减至50个工作日。</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40" w:lineRule="exact"/>
              <w:ind w:firstLine="324" w:firstLineChars="200"/>
              <w:rPr>
                <w:rFonts w:asciiTheme="minorEastAsia" w:hAnsiTheme="minorEastAsia" w:eastAsiaTheme="minorEastAsia" w:cstheme="minorEastAsia"/>
                <w:color w:val="000000"/>
                <w:w w:val="90"/>
                <w:kern w:val="0"/>
                <w:sz w:val="18"/>
                <w:szCs w:val="18"/>
              </w:rPr>
            </w:pPr>
            <w:r>
              <w:rPr>
                <w:rFonts w:hint="eastAsia" w:asciiTheme="minorEastAsia" w:hAnsiTheme="minorEastAsia" w:eastAsiaTheme="minorEastAsia" w:cstheme="minorEastAsia"/>
                <w:w w:val="90"/>
                <w:sz w:val="18"/>
                <w:szCs w:val="18"/>
              </w:rPr>
              <w:t>1.开展“双随机、一公开”监管，加强现场检查。2.通过建立地方金融组织监督管理信息平台等方式加强非现场监督管理。3.建立地方金融组织信息公示制度和分类监管制度，定期公示、更新地方金融组织名单和相关许可、批准、备案以及监督管理信息，对地方金融组织开展监督管理评级，采取差异化监督管理措施。4.发挥行业协会自律作用。</w:t>
            </w:r>
          </w:p>
        </w:tc>
      </w:tr>
      <w:tr>
        <w:tblPrEx>
          <w:tblLayout w:type="fixed"/>
          <w:tblCellMar>
            <w:top w:w="0" w:type="dxa"/>
            <w:left w:w="108" w:type="dxa"/>
            <w:bottom w:w="0" w:type="dxa"/>
            <w:right w:w="108" w:type="dxa"/>
          </w:tblCellMar>
        </w:tblPrEx>
        <w:trPr>
          <w:cantSplit/>
          <w:trHeight w:val="1699"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15</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自治区人防办</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在危及人防工程范围内采石、挖沙、取土、修建地面建筑、埋设地下管线和人防工程口部修建其他建筑物许可</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《内蒙古自治区实施〈中华人民共和国人民防空法〉办法》</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盟市、旗县级人防部门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sz w:val="18"/>
                <w:szCs w:val="18"/>
                <w:shd w:val="clear" w:color="auto" w:fill="FFFFFF"/>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sz w:val="18"/>
                <w:szCs w:val="18"/>
                <w:shd w:val="clear" w:color="auto" w:fill="FFFFFF"/>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sz w:val="18"/>
                <w:szCs w:val="18"/>
                <w:shd w:val="clear" w:color="auto" w:fill="FFFFFF"/>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进一步优化审批服务，简化审批流程，压减至5个工作日内办结。</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sz w:val="18"/>
                <w:szCs w:val="18"/>
                <w:shd w:val="clear" w:color="auto" w:fill="FFFFFF"/>
              </w:rPr>
            </w:pPr>
            <w:r>
              <w:rPr>
                <w:rFonts w:hint="eastAsia" w:asciiTheme="minorEastAsia" w:hAnsiTheme="minorEastAsia" w:eastAsiaTheme="minorEastAsia" w:cstheme="minorEastAsia"/>
                <w:w w:val="90"/>
                <w:sz w:val="18"/>
                <w:szCs w:val="18"/>
                <w:shd w:val="clear" w:color="auto" w:fill="FFFFFF"/>
              </w:rPr>
              <w:t>1.开展“双随机、一公开”监管，发现违法违规行为要依法查处。2.加强信用监管，将相关违法信息纳入社会征信体系，依法依规对失信主体开展失信惩戒。3.根据投诉举报实施重点监管，处理结果依法向社会公开。</w:t>
            </w:r>
          </w:p>
        </w:tc>
      </w:tr>
      <w:tr>
        <w:tblPrEx>
          <w:tblLayout w:type="fixed"/>
          <w:tblCellMar>
            <w:top w:w="0" w:type="dxa"/>
            <w:left w:w="108" w:type="dxa"/>
            <w:bottom w:w="0" w:type="dxa"/>
            <w:right w:w="108" w:type="dxa"/>
          </w:tblCellMar>
        </w:tblPrEx>
        <w:trPr>
          <w:cantSplit/>
          <w:trHeight w:val="2319"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16</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自治区住房和城乡建设厅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停车场设置经营审批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呼和浩特市机动车停车场经营许可证</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《呼和浩特市市容环境卫生管理条例》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w:t>
            </w:r>
            <w:r>
              <w:rPr>
                <w:rFonts w:hint="eastAsia" w:asciiTheme="minorEastAsia" w:hAnsiTheme="minorEastAsia" w:eastAsiaTheme="minorEastAsia" w:cstheme="minorEastAsia"/>
                <w:w w:val="90"/>
                <w:sz w:val="18"/>
                <w:szCs w:val="18"/>
                <w:lang w:eastAsia="zh-CN"/>
              </w:rPr>
              <w:t>市级</w:t>
            </w:r>
            <w:r>
              <w:rPr>
                <w:rFonts w:hint="eastAsia" w:asciiTheme="minorEastAsia" w:hAnsiTheme="minorEastAsia" w:eastAsiaTheme="minorEastAsia" w:cstheme="minorEastAsia"/>
                <w:w w:val="90"/>
                <w:sz w:val="18"/>
                <w:szCs w:val="18"/>
              </w:rPr>
              <w:t>、旗县级行政审批和政务服务部门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进一步优化审批办理流程，将审批流程优化为4个，并可实现网上办理，提高审批办理的便捷性。2.办理要件优化为5个，办理时限优化为10日，提高服务质量。3.加强审批信息沟通协调，及时将审批信息流转至监管部门，以便于加强事中事后监管。4.按照呼和浩特市城镇公共收费停车场建设管理领域腐败和作风问题专项整治工作主体责任办公室要求，按照时间节点做好该事项的下放工作。</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按照管辖区域划分，开展日常执法巡查。2.开展专项检查。围绕社会关注度高、群众反映强烈各类涉及停车场设置方面突出问题，制定方案并组织实施专项检查。3.受理投诉举报。根据群众投诉举报，开展执法检查或依法进行查处。4.对市领导批办件、政府相关部门移送件、政府信箱转办件等进行查处。5.对执法巡查中违反停车场设置管理方面法律、法规、规章规定的行为进行立案查处。实施行政处罚时，责令当事人改正或者限期改正违法行为。行政处罚决定依法作出后，当事人应当在行政处罚决定规定的期限内予以履行。如不服行政处罚决定，依法申请行政复议或提起行政诉讼。</w:t>
            </w:r>
          </w:p>
        </w:tc>
      </w:tr>
      <w:tr>
        <w:tblPrEx>
          <w:tblLayout w:type="fixed"/>
          <w:tblCellMar>
            <w:top w:w="0" w:type="dxa"/>
            <w:left w:w="108" w:type="dxa"/>
            <w:bottom w:w="0" w:type="dxa"/>
            <w:right w:w="108" w:type="dxa"/>
          </w:tblCellMar>
        </w:tblPrEx>
        <w:trPr>
          <w:cantSplit/>
          <w:trHeight w:val="614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17</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自治区住房和城乡建设厅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砍伐、移植树木和占用绿地审批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批复文件</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《呼和浩特市城市绿化条例》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呼和浩特市行政审批和政务服务部门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进一步优化审批办理流程，将审批流程优化为4个，并可实现网上办理，提高审批办理的便捷性。2.办理要件优化为3个，办理时限优化为5日，提高服务质量。3.加强审批信息沟通协调，及时将审批信息流转至监管部门，以便于加强事中事后监管。</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40" w:lineRule="exact"/>
              <w:rPr>
                <w:rFonts w:hint="eastAsia"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 xml:space="preserve">   </w:t>
            </w:r>
            <w:r>
              <w:rPr>
                <w:rFonts w:hint="eastAsia" w:asciiTheme="minorEastAsia" w:hAnsiTheme="minorEastAsia" w:eastAsiaTheme="minorEastAsia" w:cstheme="minorEastAsia"/>
                <w:spacing w:val="-6"/>
                <w:w w:val="90"/>
                <w:kern w:val="0"/>
                <w:sz w:val="18"/>
                <w:szCs w:val="18"/>
              </w:rPr>
              <w:t xml:space="preserve"> </w:t>
            </w:r>
            <w:r>
              <w:rPr>
                <w:rFonts w:hint="eastAsia" w:asciiTheme="minorEastAsia" w:hAnsiTheme="minorEastAsia" w:eastAsiaTheme="minorEastAsia" w:cstheme="minorEastAsia"/>
                <w:w w:val="90"/>
                <w:kern w:val="0"/>
                <w:sz w:val="18"/>
                <w:szCs w:val="18"/>
              </w:rPr>
              <w:t>1.全面落实“放管服”政策。一是优化简化办理流程，配合审批部门做好“破绿”审批勘验工作，简化“破绿”项目勘验流程，对已列入“破绿”规划的项目，按规划</w:t>
            </w:r>
            <w:r>
              <w:rPr>
                <w:rFonts w:hint="eastAsia" w:asciiTheme="minorEastAsia" w:hAnsiTheme="minorEastAsia" w:eastAsiaTheme="minorEastAsia" w:cstheme="minorEastAsia"/>
                <w:w w:val="90"/>
                <w:kern w:val="0"/>
                <w:sz w:val="18"/>
                <w:szCs w:val="18"/>
                <w:lang w:eastAsia="zh-CN"/>
              </w:rPr>
              <w:t>理由</w:t>
            </w:r>
            <w:r>
              <w:rPr>
                <w:rFonts w:hint="eastAsia" w:asciiTheme="minorEastAsia" w:hAnsiTheme="minorEastAsia" w:eastAsiaTheme="minorEastAsia" w:cstheme="minorEastAsia"/>
                <w:w w:val="90"/>
                <w:kern w:val="0"/>
                <w:sz w:val="18"/>
                <w:szCs w:val="18"/>
              </w:rPr>
              <w:t>快捷办理，办理时限由“5日办结”压缩到“3日办结”。对未列入年度破绿施工计划的项目，在取得规划</w:t>
            </w:r>
            <w:r>
              <w:rPr>
                <w:rFonts w:hint="eastAsia" w:asciiTheme="minorEastAsia" w:hAnsiTheme="minorEastAsia" w:eastAsiaTheme="minorEastAsia" w:cstheme="minorEastAsia"/>
                <w:w w:val="90"/>
                <w:kern w:val="0"/>
                <w:sz w:val="18"/>
                <w:szCs w:val="18"/>
                <w:lang w:eastAsia="zh-CN"/>
              </w:rPr>
              <w:t>理由</w:t>
            </w:r>
            <w:r>
              <w:rPr>
                <w:rFonts w:hint="eastAsia" w:asciiTheme="minorEastAsia" w:hAnsiTheme="minorEastAsia" w:eastAsiaTheme="minorEastAsia" w:cstheme="minorEastAsia"/>
                <w:w w:val="90"/>
                <w:kern w:val="0"/>
                <w:sz w:val="18"/>
                <w:szCs w:val="18"/>
              </w:rPr>
              <w:t>后，5个工作日内出具结果。二是通过人性化执法监管，主动靠前服务，帮助通过审批的占绿施工企业解决施工、运输、现场管理的难题，最大限度缩短施工周期，有效落实工业项目“拿地即开工”政策，为申请企业提供精细化指导，重点为暖、气、水、通讯、电力等民生工程解决办理流程中的协调难题。2.严格审批后工程施工监管。对通过审批的占绿工程，严格进行施工监管。一是设置现场监管公示栏，公示监管内容、规范标准、监管人员等信息；二是按照施工文明承诺和监管细则对施工围挡、规范化设置、扬尘处理、绿地移植、绿化设施安全、绿地恢复等进行全面规范化监管，对占绿面积超过50平方米以上的施工项目执行驻场管理。3.强化执法监督。针对未经审批擅自占绿、破绿、毁绿和不按审批条件施工等违规行为，一方面加大巡查频次、范围，发现一起查处一起，严厉打击违法违规行为；另一方面根据群众来电、来访以及上级委派投诉案件，及时、妥善处置；再一方面配合绿化委员会建立古树名木档案目录，确保一树一档、一树一号。</w:t>
            </w:r>
          </w:p>
        </w:tc>
      </w:tr>
      <w:tr>
        <w:tblPrEx>
          <w:tblLayout w:type="fixed"/>
          <w:tblCellMar>
            <w:top w:w="0" w:type="dxa"/>
            <w:left w:w="108" w:type="dxa"/>
            <w:bottom w:w="0" w:type="dxa"/>
            <w:right w:w="108" w:type="dxa"/>
          </w:tblCellMar>
        </w:tblPrEx>
        <w:trPr>
          <w:cantSplit/>
          <w:trHeight w:val="328"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18</w:t>
            </w:r>
          </w:p>
        </w:tc>
        <w:tc>
          <w:tcPr>
            <w:tcW w:w="785" w:type="dxa"/>
            <w:tcBorders>
              <w:top w:val="nil"/>
              <w:left w:val="nil"/>
              <w:bottom w:val="single" w:color="auto" w:sz="4" w:space="0"/>
              <w:right w:val="single" w:color="auto" w:sz="4" w:space="0"/>
            </w:tcBorders>
            <w:shd w:val="clear" w:color="000000" w:fill="FFFFFF"/>
            <w:vAlign w:val="center"/>
          </w:tcPr>
          <w:p>
            <w:pPr>
              <w:topLinePunct/>
              <w:spacing w:line="28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自治区交通运输厅</w:t>
            </w:r>
          </w:p>
        </w:tc>
        <w:tc>
          <w:tcPr>
            <w:tcW w:w="927"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城市公交线路审批</w:t>
            </w:r>
          </w:p>
        </w:tc>
        <w:tc>
          <w:tcPr>
            <w:tcW w:w="943" w:type="dxa"/>
            <w:tcBorders>
              <w:top w:val="nil"/>
              <w:left w:val="nil"/>
              <w:bottom w:val="single" w:color="auto" w:sz="4" w:space="0"/>
              <w:right w:val="single" w:color="auto" w:sz="4" w:space="0"/>
            </w:tcBorders>
            <w:shd w:val="clear" w:color="000000" w:fill="FFFFFF"/>
            <w:vAlign w:val="center"/>
          </w:tcPr>
          <w:p>
            <w:pPr>
              <w:topLinePunct/>
              <w:spacing w:line="240" w:lineRule="exact"/>
              <w:jc w:val="lef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城市公共汽车新增客运线路经营许可决定书</w:t>
            </w:r>
          </w:p>
        </w:tc>
        <w:tc>
          <w:tcPr>
            <w:tcW w:w="1047" w:type="dxa"/>
            <w:tcBorders>
              <w:top w:val="nil"/>
              <w:left w:val="nil"/>
              <w:bottom w:val="single" w:color="auto" w:sz="4" w:space="0"/>
              <w:right w:val="single" w:color="auto" w:sz="4" w:space="0"/>
            </w:tcBorders>
            <w:shd w:val="clear" w:color="000000" w:fill="FFFFFF"/>
            <w:vAlign w:val="center"/>
          </w:tcPr>
          <w:p>
            <w:pPr>
              <w:topLinePunct/>
              <w:spacing w:line="28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《呼和浩特市城市公共汽车客运管理条例》</w:t>
            </w:r>
          </w:p>
        </w:tc>
        <w:tc>
          <w:tcPr>
            <w:tcW w:w="881" w:type="dxa"/>
            <w:tcBorders>
              <w:top w:val="nil"/>
              <w:left w:val="nil"/>
              <w:bottom w:val="single" w:color="auto" w:sz="4" w:space="0"/>
              <w:right w:val="single" w:color="auto" w:sz="4" w:space="0"/>
            </w:tcBorders>
            <w:shd w:val="clear" w:color="000000" w:fill="FFFFFF"/>
            <w:vAlign w:val="center"/>
          </w:tcPr>
          <w:p>
            <w:pPr>
              <w:topLinePunct/>
              <w:spacing w:line="300" w:lineRule="exact"/>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rPr>
              <w:t>呼和浩特市交通运输管理部门</w:t>
            </w:r>
          </w:p>
        </w:tc>
        <w:tc>
          <w:tcPr>
            <w:tcW w:w="60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93"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p>
        </w:tc>
        <w:tc>
          <w:tcPr>
            <w:tcW w:w="577" w:type="dxa"/>
            <w:tcBorders>
              <w:top w:val="nil"/>
              <w:left w:val="nil"/>
              <w:bottom w:val="single" w:color="auto" w:sz="4" w:space="0"/>
              <w:right w:val="single" w:color="auto" w:sz="4" w:space="0"/>
            </w:tcBorders>
            <w:shd w:val="clear" w:color="000000" w:fill="FFFFFF"/>
            <w:vAlign w:val="center"/>
          </w:tcPr>
          <w:p>
            <w:pPr>
              <w:topLinePunct/>
              <w:spacing w:line="280" w:lineRule="exact"/>
              <w:jc w:val="center"/>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w:t>
            </w:r>
          </w:p>
        </w:tc>
        <w:tc>
          <w:tcPr>
            <w:tcW w:w="2202"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sz w:val="18"/>
                <w:szCs w:val="18"/>
                <w:shd w:val="clear" w:color="auto" w:fill="FFFFFF"/>
              </w:rPr>
              <w:t>进一步优化审批服务，简化审批流程，压减至5个工作日内办结。</w:t>
            </w:r>
          </w:p>
        </w:tc>
        <w:tc>
          <w:tcPr>
            <w:tcW w:w="3800" w:type="dxa"/>
            <w:tcBorders>
              <w:top w:val="nil"/>
              <w:left w:val="nil"/>
              <w:bottom w:val="single" w:color="auto" w:sz="4" w:space="0"/>
              <w:right w:val="single" w:color="auto" w:sz="4" w:space="0"/>
            </w:tcBorders>
            <w:shd w:val="clear" w:color="000000" w:fill="FFFFFF"/>
            <w:vAlign w:val="center"/>
          </w:tcPr>
          <w:p>
            <w:pPr>
              <w:topLinePunct/>
              <w:spacing w:line="280" w:lineRule="exact"/>
              <w:ind w:firstLine="324" w:firstLineChars="200"/>
              <w:rPr>
                <w:rFonts w:asciiTheme="minorEastAsia" w:hAnsiTheme="minorEastAsia" w:eastAsiaTheme="minorEastAsia" w:cstheme="minorEastAsia"/>
                <w:w w:val="90"/>
                <w:kern w:val="0"/>
                <w:sz w:val="18"/>
                <w:szCs w:val="18"/>
              </w:rPr>
            </w:pPr>
            <w:r>
              <w:rPr>
                <w:rFonts w:hint="eastAsia" w:asciiTheme="minorEastAsia" w:hAnsiTheme="minorEastAsia" w:eastAsiaTheme="minorEastAsia" w:cstheme="minorEastAsia"/>
                <w:w w:val="90"/>
                <w:kern w:val="0"/>
                <w:sz w:val="18"/>
                <w:szCs w:val="18"/>
              </w:rPr>
              <w:t>1.强化部门间信息共享。2.加强对城市公交的监督检查，发现违法违规行为依法查处。3.建立投诉管理制度，依法受理投诉。</w:t>
            </w:r>
          </w:p>
        </w:tc>
      </w:tr>
    </w:tbl>
    <w:p>
      <w:pPr>
        <w:rPr>
          <w:rFonts w:ascii="宋体" w:hAnsi="宋体" w:cs="宋体"/>
          <w:sz w:val="18"/>
          <w:szCs w:val="18"/>
        </w:rPr>
      </w:pPr>
    </w:p>
    <w:sectPr>
      <w:pgSz w:w="16838" w:h="11906" w:orient="landscape"/>
      <w:pgMar w:top="1474" w:right="1701" w:bottom="1474" w:left="1701" w:header="851" w:footer="1418"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954D0"/>
    <w:rsid w:val="005902DC"/>
    <w:rsid w:val="005D4ABA"/>
    <w:rsid w:val="0066116F"/>
    <w:rsid w:val="00743BD9"/>
    <w:rsid w:val="00772C31"/>
    <w:rsid w:val="007B0A8F"/>
    <w:rsid w:val="008E468A"/>
    <w:rsid w:val="00D47B67"/>
    <w:rsid w:val="00DC1A26"/>
    <w:rsid w:val="017B5CF3"/>
    <w:rsid w:val="02B06339"/>
    <w:rsid w:val="02CC7060"/>
    <w:rsid w:val="03236B44"/>
    <w:rsid w:val="0350356D"/>
    <w:rsid w:val="03C355C4"/>
    <w:rsid w:val="041E14DF"/>
    <w:rsid w:val="046B0C9B"/>
    <w:rsid w:val="053F5365"/>
    <w:rsid w:val="05451A1F"/>
    <w:rsid w:val="055B4473"/>
    <w:rsid w:val="07F13A48"/>
    <w:rsid w:val="09EB7988"/>
    <w:rsid w:val="0A9B21C0"/>
    <w:rsid w:val="0B437C54"/>
    <w:rsid w:val="0B7339A4"/>
    <w:rsid w:val="0C04130E"/>
    <w:rsid w:val="0EAE1A14"/>
    <w:rsid w:val="0F1F6D94"/>
    <w:rsid w:val="0FBA3819"/>
    <w:rsid w:val="103C5F37"/>
    <w:rsid w:val="10C22929"/>
    <w:rsid w:val="11564FA9"/>
    <w:rsid w:val="119C1BD7"/>
    <w:rsid w:val="11E649BD"/>
    <w:rsid w:val="126A220D"/>
    <w:rsid w:val="13EC6074"/>
    <w:rsid w:val="13FD449A"/>
    <w:rsid w:val="151D31BA"/>
    <w:rsid w:val="153F46B1"/>
    <w:rsid w:val="155E20AC"/>
    <w:rsid w:val="166A4F21"/>
    <w:rsid w:val="16934E0A"/>
    <w:rsid w:val="169F3D11"/>
    <w:rsid w:val="17AA4ABC"/>
    <w:rsid w:val="17B4672F"/>
    <w:rsid w:val="18357D97"/>
    <w:rsid w:val="18927415"/>
    <w:rsid w:val="18C10DC6"/>
    <w:rsid w:val="19350DE3"/>
    <w:rsid w:val="195B7F02"/>
    <w:rsid w:val="19653A63"/>
    <w:rsid w:val="19A6568B"/>
    <w:rsid w:val="19C71719"/>
    <w:rsid w:val="19D97E16"/>
    <w:rsid w:val="19F22930"/>
    <w:rsid w:val="1ABE5E0F"/>
    <w:rsid w:val="1AD51B71"/>
    <w:rsid w:val="1AE53514"/>
    <w:rsid w:val="1B866746"/>
    <w:rsid w:val="1B8E73FE"/>
    <w:rsid w:val="1BCE7052"/>
    <w:rsid w:val="1C375AD5"/>
    <w:rsid w:val="1C602E7F"/>
    <w:rsid w:val="1C6904DD"/>
    <w:rsid w:val="1CA23080"/>
    <w:rsid w:val="1E0F1B72"/>
    <w:rsid w:val="1E0F6A2E"/>
    <w:rsid w:val="1E835477"/>
    <w:rsid w:val="1FB47B03"/>
    <w:rsid w:val="207879CC"/>
    <w:rsid w:val="2198179C"/>
    <w:rsid w:val="22270004"/>
    <w:rsid w:val="22794828"/>
    <w:rsid w:val="228F68A4"/>
    <w:rsid w:val="22D83FBA"/>
    <w:rsid w:val="24C365D2"/>
    <w:rsid w:val="25EA2723"/>
    <w:rsid w:val="27DD1892"/>
    <w:rsid w:val="298E498B"/>
    <w:rsid w:val="29B45179"/>
    <w:rsid w:val="2A1A3151"/>
    <w:rsid w:val="2A5B5C04"/>
    <w:rsid w:val="2A9B46FF"/>
    <w:rsid w:val="2C294178"/>
    <w:rsid w:val="2D1B15A3"/>
    <w:rsid w:val="2E14602A"/>
    <w:rsid w:val="2E703616"/>
    <w:rsid w:val="2EA73B19"/>
    <w:rsid w:val="2F0F4233"/>
    <w:rsid w:val="2F401C93"/>
    <w:rsid w:val="30323B8C"/>
    <w:rsid w:val="30746451"/>
    <w:rsid w:val="31F8054E"/>
    <w:rsid w:val="330E3D54"/>
    <w:rsid w:val="34656901"/>
    <w:rsid w:val="3479230C"/>
    <w:rsid w:val="35C524CA"/>
    <w:rsid w:val="36D858DD"/>
    <w:rsid w:val="37087312"/>
    <w:rsid w:val="3718711D"/>
    <w:rsid w:val="37595241"/>
    <w:rsid w:val="384E4F98"/>
    <w:rsid w:val="384E7DD8"/>
    <w:rsid w:val="39235418"/>
    <w:rsid w:val="394D2B05"/>
    <w:rsid w:val="3B6055D2"/>
    <w:rsid w:val="3C457432"/>
    <w:rsid w:val="3C822960"/>
    <w:rsid w:val="3D63792F"/>
    <w:rsid w:val="3D760F89"/>
    <w:rsid w:val="3D773463"/>
    <w:rsid w:val="3E846F17"/>
    <w:rsid w:val="3F587EF7"/>
    <w:rsid w:val="3FB503C8"/>
    <w:rsid w:val="40EF3084"/>
    <w:rsid w:val="41637BF3"/>
    <w:rsid w:val="416972A8"/>
    <w:rsid w:val="41C907C0"/>
    <w:rsid w:val="41EB6DBD"/>
    <w:rsid w:val="44344B58"/>
    <w:rsid w:val="45D82E6F"/>
    <w:rsid w:val="45FA0D47"/>
    <w:rsid w:val="45FB52FB"/>
    <w:rsid w:val="462F2A78"/>
    <w:rsid w:val="46B749EF"/>
    <w:rsid w:val="47986F01"/>
    <w:rsid w:val="47A14A5E"/>
    <w:rsid w:val="48E773B1"/>
    <w:rsid w:val="49930118"/>
    <w:rsid w:val="4A2107E5"/>
    <w:rsid w:val="4A6B3CE3"/>
    <w:rsid w:val="4A897C38"/>
    <w:rsid w:val="4BD95822"/>
    <w:rsid w:val="4DC4552D"/>
    <w:rsid w:val="4F12286F"/>
    <w:rsid w:val="50143F13"/>
    <w:rsid w:val="512C1468"/>
    <w:rsid w:val="515831CB"/>
    <w:rsid w:val="517C76E0"/>
    <w:rsid w:val="51ED2E60"/>
    <w:rsid w:val="52065807"/>
    <w:rsid w:val="53985743"/>
    <w:rsid w:val="53B648C1"/>
    <w:rsid w:val="546A4E7B"/>
    <w:rsid w:val="549326E7"/>
    <w:rsid w:val="549D2415"/>
    <w:rsid w:val="551A1F2E"/>
    <w:rsid w:val="565B3428"/>
    <w:rsid w:val="56736392"/>
    <w:rsid w:val="5683002B"/>
    <w:rsid w:val="58FC5452"/>
    <w:rsid w:val="592555C8"/>
    <w:rsid w:val="59CB352E"/>
    <w:rsid w:val="5C7F008C"/>
    <w:rsid w:val="5C971F28"/>
    <w:rsid w:val="5CFC3FCA"/>
    <w:rsid w:val="5D3C2A23"/>
    <w:rsid w:val="5D7127A2"/>
    <w:rsid w:val="5DB82570"/>
    <w:rsid w:val="5E4954D0"/>
    <w:rsid w:val="5F9F6C48"/>
    <w:rsid w:val="61117619"/>
    <w:rsid w:val="61224F67"/>
    <w:rsid w:val="618201C0"/>
    <w:rsid w:val="61A57B7E"/>
    <w:rsid w:val="624A73E4"/>
    <w:rsid w:val="638711C0"/>
    <w:rsid w:val="63D948EE"/>
    <w:rsid w:val="64AE570C"/>
    <w:rsid w:val="65143FB8"/>
    <w:rsid w:val="65612B1E"/>
    <w:rsid w:val="65BD241B"/>
    <w:rsid w:val="66E340F9"/>
    <w:rsid w:val="68407F31"/>
    <w:rsid w:val="691A7A7F"/>
    <w:rsid w:val="6A7769CC"/>
    <w:rsid w:val="6D140CC2"/>
    <w:rsid w:val="6D1A5821"/>
    <w:rsid w:val="6D317061"/>
    <w:rsid w:val="6DC978B2"/>
    <w:rsid w:val="6E056D51"/>
    <w:rsid w:val="6E185811"/>
    <w:rsid w:val="6EBC3936"/>
    <w:rsid w:val="6F6E1480"/>
    <w:rsid w:val="6F7230C2"/>
    <w:rsid w:val="6F947EB1"/>
    <w:rsid w:val="6FDC2E38"/>
    <w:rsid w:val="705701C4"/>
    <w:rsid w:val="7072785F"/>
    <w:rsid w:val="72040126"/>
    <w:rsid w:val="721515AA"/>
    <w:rsid w:val="722B07F4"/>
    <w:rsid w:val="72401008"/>
    <w:rsid w:val="72DD3679"/>
    <w:rsid w:val="72EF5741"/>
    <w:rsid w:val="738B56B3"/>
    <w:rsid w:val="73F84E77"/>
    <w:rsid w:val="74237A66"/>
    <w:rsid w:val="753A509D"/>
    <w:rsid w:val="75887D8E"/>
    <w:rsid w:val="76255726"/>
    <w:rsid w:val="777F35E3"/>
    <w:rsid w:val="784629D6"/>
    <w:rsid w:val="79E01AA8"/>
    <w:rsid w:val="7A4B7059"/>
    <w:rsid w:val="7BA96577"/>
    <w:rsid w:val="7CC2052B"/>
    <w:rsid w:val="7D06782D"/>
    <w:rsid w:val="7DF84B3C"/>
    <w:rsid w:val="7ED43B16"/>
    <w:rsid w:val="7F64141C"/>
    <w:rsid w:val="7F83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widowControl/>
      <w:tabs>
        <w:tab w:val="left" w:pos="425"/>
      </w:tabs>
      <w:autoSpaceDE w:val="0"/>
      <w:autoSpaceDN w:val="0"/>
      <w:adjustRightInd w:val="0"/>
      <w:spacing w:after="220" w:line="220" w:lineRule="atLeast"/>
      <w:ind w:firstLine="540"/>
      <w:jc w:val="left"/>
    </w:pPr>
    <w:rPr>
      <w:rFonts w:hAnsi="Arial"/>
      <w:color w:val="000000"/>
      <w:kern w:val="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5998</Words>
  <Characters>399</Characters>
  <Lines>3</Lines>
  <Paragraphs>12</Paragraphs>
  <TotalTime>1</TotalTime>
  <ScaleCrop>false</ScaleCrop>
  <LinksUpToDate>false</LinksUpToDate>
  <CharactersWithSpaces>6385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2021-06-29T05:44:00Z</dcterms:created>
  <dc:creator>季</dc:creator>
  <cp:lastModifiedBy>fangguanfu</cp:lastModifiedBy>
  <cp:lastPrinted>2021-07-03T02:59:00Z</cp:lastPrinted>
  <dcterms:modified xsi:type="dcterms:W3CDTF">2021-07-20T03:05:03Z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1D4630DDC61146069B0DC826DF199FB1</vt:lpwstr>
  </property>
</Properties>
</file>